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28" w:type="dxa"/>
          <w:left w:w="28" w:type="dxa"/>
          <w:bottom w:w="28" w:type="dxa"/>
          <w:right w:w="28" w:type="dxa"/>
        </w:tblCellMar>
        <w:tblLook w:val="0000"/>
      </w:tblPr>
      <w:tblGrid>
        <w:gridCol w:w="1409"/>
        <w:gridCol w:w="1164"/>
        <w:gridCol w:w="831"/>
        <w:gridCol w:w="1060"/>
        <w:gridCol w:w="4663"/>
      </w:tblGrid>
      <w:tr w:rsidR="00755750" w:rsidRPr="00E4396B" w:rsidTr="00D05D51">
        <w:tc>
          <w:tcPr>
            <w:tcW w:w="1409" w:type="dxa"/>
            <w:tcBorders>
              <w:top w:val="single" w:sz="18" w:space="0" w:color="auto"/>
            </w:tcBorders>
            <w:vAlign w:val="center"/>
          </w:tcPr>
          <w:p w:rsidR="00755750" w:rsidRPr="00E4396B" w:rsidRDefault="00755750" w:rsidP="00D05D51">
            <w:pPr>
              <w:pStyle w:val="NZVYKODYOBC"/>
              <w:rPr>
                <w:b/>
                <w:bCs/>
                <w:sz w:val="18"/>
                <w:szCs w:val="18"/>
              </w:rPr>
            </w:pPr>
            <w:r w:rsidRPr="00E4396B">
              <w:rPr>
                <w:sz w:val="18"/>
                <w:szCs w:val="18"/>
              </w:rPr>
              <w:t>Kód pověřené obce</w:t>
            </w:r>
          </w:p>
        </w:tc>
        <w:tc>
          <w:tcPr>
            <w:tcW w:w="1164" w:type="dxa"/>
            <w:tcBorders>
              <w:top w:val="single" w:sz="18" w:space="0" w:color="auto"/>
            </w:tcBorders>
            <w:vAlign w:val="center"/>
          </w:tcPr>
          <w:p w:rsidR="00755750" w:rsidRPr="00E4396B" w:rsidRDefault="00755750" w:rsidP="00D05D51">
            <w:pPr>
              <w:pStyle w:val="NZVYKODYOBC"/>
              <w:rPr>
                <w:sz w:val="18"/>
                <w:szCs w:val="18"/>
              </w:rPr>
            </w:pPr>
            <w:r w:rsidRPr="00E4396B">
              <w:rPr>
                <w:sz w:val="18"/>
                <w:szCs w:val="18"/>
              </w:rPr>
              <w:t>Poř. číslo obce</w:t>
            </w:r>
          </w:p>
        </w:tc>
        <w:tc>
          <w:tcPr>
            <w:tcW w:w="831" w:type="dxa"/>
            <w:tcBorders>
              <w:top w:val="single" w:sz="18" w:space="0" w:color="auto"/>
            </w:tcBorders>
            <w:vAlign w:val="center"/>
          </w:tcPr>
          <w:p w:rsidR="00755750" w:rsidRPr="00E4396B" w:rsidRDefault="00755750" w:rsidP="00D05D51">
            <w:pPr>
              <w:pStyle w:val="NZVYKODYOBC"/>
              <w:rPr>
                <w:sz w:val="18"/>
                <w:szCs w:val="18"/>
              </w:rPr>
            </w:pPr>
            <w:r w:rsidRPr="00E4396B">
              <w:rPr>
                <w:sz w:val="18"/>
                <w:szCs w:val="18"/>
              </w:rPr>
              <w:t>Kód lokality</w:t>
            </w:r>
          </w:p>
        </w:tc>
        <w:tc>
          <w:tcPr>
            <w:tcW w:w="1060" w:type="dxa"/>
            <w:tcBorders>
              <w:top w:val="single" w:sz="18" w:space="0" w:color="auto"/>
            </w:tcBorders>
            <w:vAlign w:val="center"/>
          </w:tcPr>
          <w:p w:rsidR="00755750" w:rsidRPr="00E4396B" w:rsidRDefault="00755750" w:rsidP="00D05D51">
            <w:pPr>
              <w:pStyle w:val="NZVYKODYOBC"/>
              <w:rPr>
                <w:sz w:val="18"/>
                <w:szCs w:val="18"/>
              </w:rPr>
            </w:pPr>
            <w:r w:rsidRPr="00E4396B">
              <w:rPr>
                <w:sz w:val="18"/>
                <w:szCs w:val="18"/>
              </w:rPr>
              <w:t>Kód části</w:t>
            </w:r>
          </w:p>
          <w:p w:rsidR="00755750" w:rsidRPr="00E4396B" w:rsidRDefault="00755750" w:rsidP="00D05D51">
            <w:pPr>
              <w:pStyle w:val="NZVYKODYOBC"/>
              <w:rPr>
                <w:sz w:val="18"/>
                <w:szCs w:val="18"/>
              </w:rPr>
            </w:pPr>
            <w:r w:rsidRPr="00E4396B">
              <w:rPr>
                <w:sz w:val="18"/>
                <w:szCs w:val="18"/>
              </w:rPr>
              <w:t>obce</w:t>
            </w:r>
          </w:p>
        </w:tc>
        <w:tc>
          <w:tcPr>
            <w:tcW w:w="4663" w:type="dxa"/>
            <w:tcBorders>
              <w:top w:val="single" w:sz="18" w:space="0" w:color="auto"/>
            </w:tcBorders>
            <w:vAlign w:val="center"/>
          </w:tcPr>
          <w:p w:rsidR="00755750" w:rsidRPr="00E4396B" w:rsidRDefault="00755750" w:rsidP="00D05D51">
            <w:pPr>
              <w:pStyle w:val="NZVYKODYOBC"/>
              <w:rPr>
                <w:sz w:val="18"/>
                <w:szCs w:val="18"/>
              </w:rPr>
            </w:pPr>
            <w:r w:rsidRPr="00E4396B">
              <w:rPr>
                <w:sz w:val="18"/>
                <w:szCs w:val="18"/>
              </w:rPr>
              <w:t>Název obce</w:t>
            </w:r>
          </w:p>
        </w:tc>
      </w:tr>
      <w:tr w:rsidR="00755750" w:rsidRPr="00E4396B">
        <w:trPr>
          <w:trHeight w:val="567"/>
        </w:trPr>
        <w:tc>
          <w:tcPr>
            <w:tcW w:w="1409" w:type="dxa"/>
            <w:tcBorders>
              <w:bottom w:val="single" w:sz="18" w:space="0" w:color="auto"/>
            </w:tcBorders>
            <w:vAlign w:val="bottom"/>
          </w:tcPr>
          <w:p w:rsidR="00755750" w:rsidRPr="00E4396B" w:rsidRDefault="00755750" w:rsidP="00D05D51">
            <w:pPr>
              <w:pStyle w:val="KODYOBC"/>
              <w:ind w:left="142"/>
            </w:pPr>
            <w:r w:rsidRPr="00E4396B">
              <w:t>7208</w:t>
            </w:r>
          </w:p>
        </w:tc>
        <w:tc>
          <w:tcPr>
            <w:tcW w:w="1164" w:type="dxa"/>
            <w:tcBorders>
              <w:bottom w:val="single" w:sz="18" w:space="0" w:color="auto"/>
            </w:tcBorders>
            <w:vAlign w:val="bottom"/>
          </w:tcPr>
          <w:p w:rsidR="00755750" w:rsidRPr="00E4396B" w:rsidRDefault="00755750" w:rsidP="00D05D51">
            <w:pPr>
              <w:pStyle w:val="KODYOBC"/>
              <w:ind w:left="142"/>
            </w:pPr>
            <w:r w:rsidRPr="00E4396B">
              <w:t>024</w:t>
            </w:r>
          </w:p>
        </w:tc>
        <w:tc>
          <w:tcPr>
            <w:tcW w:w="831" w:type="dxa"/>
            <w:tcBorders>
              <w:bottom w:val="single" w:sz="18" w:space="0" w:color="auto"/>
            </w:tcBorders>
            <w:vAlign w:val="bottom"/>
          </w:tcPr>
          <w:p w:rsidR="00755750" w:rsidRPr="00E4396B" w:rsidRDefault="00755750" w:rsidP="00D05D51">
            <w:pPr>
              <w:pStyle w:val="KODYOBC"/>
              <w:ind w:left="142"/>
            </w:pPr>
            <w:r w:rsidRPr="00E4396B">
              <w:t>01</w:t>
            </w:r>
          </w:p>
        </w:tc>
        <w:tc>
          <w:tcPr>
            <w:tcW w:w="1060" w:type="dxa"/>
            <w:tcBorders>
              <w:bottom w:val="single" w:sz="18" w:space="0" w:color="auto"/>
            </w:tcBorders>
            <w:vAlign w:val="bottom"/>
          </w:tcPr>
          <w:p w:rsidR="00755750" w:rsidRPr="00E4396B" w:rsidRDefault="00755750" w:rsidP="00D05D51">
            <w:pPr>
              <w:pStyle w:val="KODYOBC"/>
              <w:ind w:left="142"/>
            </w:pPr>
            <w:r w:rsidRPr="00E4396B">
              <w:t>41264</w:t>
            </w:r>
          </w:p>
        </w:tc>
        <w:tc>
          <w:tcPr>
            <w:tcW w:w="4663" w:type="dxa"/>
            <w:tcBorders>
              <w:bottom w:val="single" w:sz="18" w:space="0" w:color="auto"/>
            </w:tcBorders>
            <w:vAlign w:val="bottom"/>
          </w:tcPr>
          <w:p w:rsidR="00755750" w:rsidRPr="00E4396B" w:rsidRDefault="00755750">
            <w:pPr>
              <w:pStyle w:val="Nadpis1"/>
              <w:rPr>
                <w:rFonts w:ascii="Arial" w:hAnsi="Arial" w:cs="Arial"/>
                <w:kern w:val="0"/>
                <w:sz w:val="24"/>
                <w:szCs w:val="24"/>
                <w:lang w:val="cs-CZ" w:eastAsia="cs-CZ"/>
              </w:rPr>
            </w:pPr>
            <w:bookmarkStart w:id="0" w:name="_Toc44552358"/>
            <w:r w:rsidRPr="00E4396B">
              <w:rPr>
                <w:rFonts w:ascii="Arial" w:hAnsi="Arial" w:cs="Arial"/>
                <w:kern w:val="0"/>
                <w:sz w:val="24"/>
                <w:szCs w:val="24"/>
                <w:lang w:val="cs-CZ" w:eastAsia="cs-CZ"/>
              </w:rPr>
              <w:t>UHERSKÝ BROD</w:t>
            </w:r>
            <w:bookmarkEnd w:id="0"/>
          </w:p>
        </w:tc>
      </w:tr>
    </w:tbl>
    <w:p w:rsidR="00755750" w:rsidRPr="00E4396B" w:rsidRDefault="00755750">
      <w:pPr>
        <w:pStyle w:val="Nadpis2"/>
        <w:rPr>
          <w:rFonts w:cs="Arial"/>
        </w:rPr>
      </w:pPr>
      <w:r w:rsidRPr="00E4396B">
        <w:rPr>
          <w:rFonts w:cs="Arial"/>
        </w:rPr>
        <w:t>Stručná charakteristika řešeného území</w:t>
      </w:r>
    </w:p>
    <w:p w:rsidR="00755750" w:rsidRPr="00E4396B" w:rsidRDefault="00755750">
      <w:pPr>
        <w:pStyle w:val="Zkladntext"/>
        <w:rPr>
          <w:rFonts w:ascii="Arial" w:hAnsi="Arial" w:cs="Arial"/>
          <w:sz w:val="20"/>
          <w:szCs w:val="20"/>
        </w:rPr>
      </w:pPr>
      <w:r w:rsidRPr="00E4396B">
        <w:rPr>
          <w:rFonts w:ascii="Arial" w:hAnsi="Arial" w:cs="Arial"/>
          <w:sz w:val="20"/>
          <w:szCs w:val="20"/>
        </w:rPr>
        <w:t xml:space="preserve">SÚ Uherský Brod administrativně zahrnuje místní části dle následující tabulky, ve které jsou dle podkladů </w:t>
      </w:r>
      <w:r w:rsidR="00AD2934" w:rsidRPr="00E4396B">
        <w:rPr>
          <w:rFonts w:ascii="Arial" w:hAnsi="Arial" w:cs="Arial"/>
          <w:sz w:val="20"/>
          <w:szCs w:val="20"/>
          <w:lang w:val="cs-CZ"/>
        </w:rPr>
        <w:t>MěÚ</w:t>
      </w:r>
      <w:r w:rsidRPr="00E4396B">
        <w:rPr>
          <w:rFonts w:ascii="Arial" w:hAnsi="Arial" w:cs="Arial"/>
          <w:sz w:val="20"/>
          <w:szCs w:val="20"/>
        </w:rPr>
        <w:t xml:space="preserve"> uvedeny stávající počty obyvatel:</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51"/>
        <w:gridCol w:w="4630"/>
        <w:gridCol w:w="1591"/>
      </w:tblGrid>
      <w:tr w:rsidR="00D05D51" w:rsidRPr="00E4396B" w:rsidTr="00D05D51">
        <w:tc>
          <w:tcPr>
            <w:tcW w:w="1571" w:type="pct"/>
          </w:tcPr>
          <w:p w:rsidR="00D05D51" w:rsidRPr="00E4396B" w:rsidRDefault="00D05D51">
            <w:pPr>
              <w:rPr>
                <w:rFonts w:ascii="Arial" w:hAnsi="Arial" w:cs="Arial"/>
                <w:b/>
                <w:i/>
                <w:sz w:val="20"/>
                <w:szCs w:val="20"/>
              </w:rPr>
            </w:pPr>
            <w:r w:rsidRPr="00E4396B">
              <w:rPr>
                <w:rFonts w:ascii="Arial" w:hAnsi="Arial" w:cs="Arial"/>
                <w:b/>
                <w:i/>
                <w:sz w:val="20"/>
                <w:szCs w:val="20"/>
              </w:rPr>
              <w:t>Č. obce</w:t>
            </w:r>
            <w:r w:rsidRPr="00E4396B">
              <w:rPr>
                <w:rFonts w:ascii="Arial" w:hAnsi="Arial" w:cs="Arial"/>
                <w:b/>
                <w:i/>
                <w:sz w:val="20"/>
                <w:szCs w:val="20"/>
              </w:rPr>
              <w:tab/>
            </w:r>
          </w:p>
        </w:tc>
        <w:tc>
          <w:tcPr>
            <w:tcW w:w="2552" w:type="pct"/>
          </w:tcPr>
          <w:p w:rsidR="00D05D51" w:rsidRPr="00E4396B" w:rsidRDefault="00D05D51">
            <w:pPr>
              <w:rPr>
                <w:rFonts w:ascii="Arial" w:hAnsi="Arial" w:cs="Arial"/>
                <w:b/>
                <w:i/>
                <w:sz w:val="20"/>
                <w:szCs w:val="20"/>
              </w:rPr>
            </w:pPr>
            <w:r w:rsidRPr="00E4396B">
              <w:rPr>
                <w:rFonts w:ascii="Arial" w:hAnsi="Arial" w:cs="Arial"/>
                <w:b/>
                <w:i/>
                <w:sz w:val="20"/>
                <w:szCs w:val="20"/>
              </w:rPr>
              <w:t xml:space="preserve">Název </w:t>
            </w:r>
          </w:p>
        </w:tc>
        <w:tc>
          <w:tcPr>
            <w:tcW w:w="877" w:type="pct"/>
          </w:tcPr>
          <w:p w:rsidR="00D05D51" w:rsidRPr="00E4396B" w:rsidRDefault="00D05D51">
            <w:pPr>
              <w:jc w:val="right"/>
              <w:rPr>
                <w:rFonts w:ascii="Arial" w:hAnsi="Arial" w:cs="Arial"/>
                <w:b/>
                <w:i/>
                <w:sz w:val="20"/>
                <w:szCs w:val="20"/>
              </w:rPr>
            </w:pPr>
            <w:r w:rsidRPr="00E4396B">
              <w:rPr>
                <w:rFonts w:ascii="Arial" w:hAnsi="Arial" w:cs="Arial"/>
                <w:b/>
                <w:i/>
                <w:sz w:val="20"/>
                <w:szCs w:val="20"/>
              </w:rPr>
              <w:t>Obyvatele</w:t>
            </w:r>
          </w:p>
          <w:p w:rsidR="00D05D51" w:rsidRPr="00E4396B" w:rsidRDefault="00D05D51">
            <w:pPr>
              <w:jc w:val="right"/>
              <w:rPr>
                <w:rFonts w:ascii="Arial" w:hAnsi="Arial" w:cs="Arial"/>
                <w:b/>
                <w:i/>
                <w:sz w:val="20"/>
                <w:szCs w:val="20"/>
              </w:rPr>
            </w:pPr>
            <w:r w:rsidRPr="00E4396B">
              <w:rPr>
                <w:rFonts w:ascii="Arial" w:hAnsi="Arial" w:cs="Arial"/>
                <w:b/>
                <w:i/>
                <w:sz w:val="20"/>
                <w:szCs w:val="20"/>
              </w:rPr>
              <w:t>2015</w:t>
            </w:r>
          </w:p>
        </w:tc>
      </w:tr>
      <w:tr w:rsidR="006D7515" w:rsidRPr="00E4396B" w:rsidTr="006D7515">
        <w:tc>
          <w:tcPr>
            <w:tcW w:w="1571" w:type="pct"/>
          </w:tcPr>
          <w:p w:rsidR="006D7515" w:rsidRPr="00E4396B" w:rsidRDefault="006D7515" w:rsidP="006D7515">
            <w:pPr>
              <w:rPr>
                <w:rFonts w:ascii="Arial" w:hAnsi="Arial" w:cs="Arial"/>
                <w:sz w:val="20"/>
                <w:szCs w:val="20"/>
              </w:rPr>
            </w:pPr>
            <w:r w:rsidRPr="00E4396B">
              <w:rPr>
                <w:rFonts w:ascii="Arial" w:hAnsi="Arial" w:cs="Arial"/>
                <w:sz w:val="20"/>
                <w:szCs w:val="20"/>
              </w:rPr>
              <w:t>7208_024_01_41264</w:t>
            </w:r>
          </w:p>
        </w:tc>
        <w:tc>
          <w:tcPr>
            <w:tcW w:w="2552" w:type="pct"/>
          </w:tcPr>
          <w:p w:rsidR="006D7515" w:rsidRPr="00E4396B" w:rsidRDefault="006D7515" w:rsidP="006D7515">
            <w:pPr>
              <w:rPr>
                <w:rFonts w:ascii="Arial" w:hAnsi="Arial" w:cs="Arial"/>
                <w:sz w:val="20"/>
                <w:szCs w:val="20"/>
              </w:rPr>
            </w:pPr>
            <w:r w:rsidRPr="00E4396B">
              <w:rPr>
                <w:rFonts w:ascii="Arial" w:hAnsi="Arial" w:cs="Arial"/>
                <w:sz w:val="20"/>
                <w:szCs w:val="20"/>
              </w:rPr>
              <w:t>UHERSKÝ BROD</w:t>
            </w:r>
          </w:p>
        </w:tc>
        <w:tc>
          <w:tcPr>
            <w:tcW w:w="877" w:type="pct"/>
            <w:vAlign w:val="center"/>
          </w:tcPr>
          <w:p w:rsidR="006D7515" w:rsidRPr="00E4396B" w:rsidRDefault="006D7515" w:rsidP="006D7515">
            <w:pPr>
              <w:jc w:val="right"/>
              <w:rPr>
                <w:rFonts w:ascii="Arial" w:hAnsi="Arial" w:cs="Arial"/>
                <w:sz w:val="20"/>
                <w:szCs w:val="20"/>
              </w:rPr>
            </w:pPr>
            <w:r w:rsidRPr="00E4396B">
              <w:rPr>
                <w:rFonts w:ascii="Arial" w:hAnsi="Arial" w:cs="Arial"/>
                <w:sz w:val="20"/>
                <w:szCs w:val="20"/>
              </w:rPr>
              <w:t>13790</w:t>
            </w:r>
          </w:p>
        </w:tc>
      </w:tr>
      <w:tr w:rsidR="006D7515" w:rsidRPr="00E4396B" w:rsidTr="006D7515">
        <w:tc>
          <w:tcPr>
            <w:tcW w:w="1571" w:type="pct"/>
          </w:tcPr>
          <w:p w:rsidR="006D7515" w:rsidRPr="00E4396B" w:rsidRDefault="006D7515" w:rsidP="006D7515">
            <w:pPr>
              <w:rPr>
                <w:rFonts w:ascii="Arial" w:hAnsi="Arial" w:cs="Arial"/>
                <w:sz w:val="20"/>
                <w:szCs w:val="20"/>
              </w:rPr>
            </w:pPr>
            <w:r w:rsidRPr="00E4396B">
              <w:rPr>
                <w:rFonts w:ascii="Arial" w:hAnsi="Arial" w:cs="Arial"/>
                <w:sz w:val="20"/>
                <w:szCs w:val="20"/>
              </w:rPr>
              <w:t>7208_024_02_03806</w:t>
            </w:r>
          </w:p>
        </w:tc>
        <w:tc>
          <w:tcPr>
            <w:tcW w:w="2552" w:type="pct"/>
          </w:tcPr>
          <w:p w:rsidR="006D7515" w:rsidRPr="00E4396B" w:rsidRDefault="006D7515" w:rsidP="006D7515">
            <w:pPr>
              <w:rPr>
                <w:rFonts w:ascii="Arial" w:hAnsi="Arial" w:cs="Arial"/>
                <w:sz w:val="20"/>
                <w:szCs w:val="20"/>
              </w:rPr>
            </w:pPr>
            <w:r w:rsidRPr="00E4396B">
              <w:rPr>
                <w:rFonts w:ascii="Arial" w:hAnsi="Arial" w:cs="Arial"/>
                <w:sz w:val="20"/>
                <w:szCs w:val="20"/>
              </w:rPr>
              <w:t>Havřice</w:t>
            </w:r>
          </w:p>
        </w:tc>
        <w:tc>
          <w:tcPr>
            <w:tcW w:w="877" w:type="pct"/>
            <w:vAlign w:val="center"/>
          </w:tcPr>
          <w:p w:rsidR="006D7515" w:rsidRPr="00E4396B" w:rsidRDefault="006D7515" w:rsidP="006D7515">
            <w:pPr>
              <w:jc w:val="right"/>
              <w:rPr>
                <w:rFonts w:ascii="Arial" w:hAnsi="Arial" w:cs="Arial"/>
                <w:sz w:val="20"/>
                <w:szCs w:val="20"/>
              </w:rPr>
            </w:pPr>
            <w:r w:rsidRPr="00E4396B">
              <w:rPr>
                <w:rFonts w:ascii="Arial" w:hAnsi="Arial" w:cs="Arial"/>
                <w:sz w:val="20"/>
                <w:szCs w:val="20"/>
              </w:rPr>
              <w:t>890</w:t>
            </w:r>
          </w:p>
        </w:tc>
      </w:tr>
      <w:tr w:rsidR="006D7515" w:rsidRPr="00E4396B" w:rsidTr="006D7515">
        <w:tc>
          <w:tcPr>
            <w:tcW w:w="1571" w:type="pct"/>
          </w:tcPr>
          <w:p w:rsidR="006D7515" w:rsidRPr="00E4396B" w:rsidRDefault="006D7515" w:rsidP="006D7515">
            <w:pPr>
              <w:rPr>
                <w:rFonts w:ascii="Arial" w:hAnsi="Arial" w:cs="Arial"/>
                <w:sz w:val="20"/>
                <w:szCs w:val="20"/>
              </w:rPr>
            </w:pPr>
            <w:r w:rsidRPr="00E4396B">
              <w:rPr>
                <w:rFonts w:ascii="Arial" w:hAnsi="Arial" w:cs="Arial"/>
                <w:sz w:val="20"/>
                <w:szCs w:val="20"/>
              </w:rPr>
              <w:t>7208_024_03_09195</w:t>
            </w:r>
          </w:p>
        </w:tc>
        <w:tc>
          <w:tcPr>
            <w:tcW w:w="2552" w:type="pct"/>
          </w:tcPr>
          <w:p w:rsidR="006D7515" w:rsidRPr="00E4396B" w:rsidRDefault="006D7515" w:rsidP="006D7515">
            <w:pPr>
              <w:rPr>
                <w:rFonts w:ascii="Arial" w:hAnsi="Arial" w:cs="Arial"/>
                <w:sz w:val="20"/>
                <w:szCs w:val="20"/>
              </w:rPr>
            </w:pPr>
            <w:r w:rsidRPr="00E4396B">
              <w:rPr>
                <w:rFonts w:ascii="Arial" w:hAnsi="Arial" w:cs="Arial"/>
                <w:sz w:val="20"/>
                <w:szCs w:val="20"/>
              </w:rPr>
              <w:t>Maršov</w:t>
            </w:r>
          </w:p>
        </w:tc>
        <w:tc>
          <w:tcPr>
            <w:tcW w:w="877" w:type="pct"/>
            <w:vAlign w:val="center"/>
          </w:tcPr>
          <w:p w:rsidR="006D7515" w:rsidRPr="00E4396B" w:rsidRDefault="006D7515" w:rsidP="006D7515">
            <w:pPr>
              <w:jc w:val="right"/>
              <w:rPr>
                <w:rFonts w:ascii="Arial" w:hAnsi="Arial" w:cs="Arial"/>
                <w:sz w:val="20"/>
                <w:szCs w:val="20"/>
              </w:rPr>
            </w:pPr>
            <w:r w:rsidRPr="00E4396B">
              <w:rPr>
                <w:rFonts w:ascii="Arial" w:hAnsi="Arial" w:cs="Arial"/>
                <w:sz w:val="20"/>
                <w:szCs w:val="20"/>
              </w:rPr>
              <w:t>25</w:t>
            </w:r>
          </w:p>
        </w:tc>
      </w:tr>
      <w:tr w:rsidR="006D7515" w:rsidRPr="00E4396B" w:rsidTr="006D7515">
        <w:tc>
          <w:tcPr>
            <w:tcW w:w="1571" w:type="pct"/>
          </w:tcPr>
          <w:p w:rsidR="006D7515" w:rsidRPr="00E4396B" w:rsidRDefault="006D7515" w:rsidP="006D7515">
            <w:pPr>
              <w:rPr>
                <w:rFonts w:ascii="Arial" w:hAnsi="Arial" w:cs="Arial"/>
                <w:sz w:val="20"/>
                <w:szCs w:val="20"/>
              </w:rPr>
            </w:pPr>
            <w:r w:rsidRPr="00E4396B">
              <w:rPr>
                <w:rFonts w:ascii="Arial" w:hAnsi="Arial" w:cs="Arial"/>
                <w:sz w:val="20"/>
                <w:szCs w:val="20"/>
              </w:rPr>
              <w:t>7208_024_04_16682</w:t>
            </w:r>
          </w:p>
        </w:tc>
        <w:tc>
          <w:tcPr>
            <w:tcW w:w="2552" w:type="pct"/>
          </w:tcPr>
          <w:p w:rsidR="006D7515" w:rsidRPr="00E4396B" w:rsidRDefault="006D7515" w:rsidP="006D7515">
            <w:pPr>
              <w:rPr>
                <w:rFonts w:ascii="Arial" w:hAnsi="Arial" w:cs="Arial"/>
                <w:sz w:val="20"/>
                <w:szCs w:val="20"/>
              </w:rPr>
            </w:pPr>
            <w:r w:rsidRPr="00E4396B">
              <w:rPr>
                <w:rFonts w:ascii="Arial" w:hAnsi="Arial" w:cs="Arial"/>
                <w:sz w:val="20"/>
                <w:szCs w:val="20"/>
              </w:rPr>
              <w:t>Těšov</w:t>
            </w:r>
          </w:p>
        </w:tc>
        <w:tc>
          <w:tcPr>
            <w:tcW w:w="877" w:type="pct"/>
            <w:vAlign w:val="center"/>
          </w:tcPr>
          <w:p w:rsidR="006D7515" w:rsidRPr="00E4396B" w:rsidRDefault="006D7515" w:rsidP="006D7515">
            <w:pPr>
              <w:jc w:val="right"/>
              <w:rPr>
                <w:rFonts w:ascii="Arial" w:hAnsi="Arial" w:cs="Arial"/>
                <w:sz w:val="20"/>
                <w:szCs w:val="20"/>
              </w:rPr>
            </w:pPr>
            <w:r w:rsidRPr="00E4396B">
              <w:rPr>
                <w:rFonts w:ascii="Arial" w:hAnsi="Arial" w:cs="Arial"/>
                <w:sz w:val="20"/>
                <w:szCs w:val="20"/>
              </w:rPr>
              <w:t>975</w:t>
            </w:r>
          </w:p>
        </w:tc>
      </w:tr>
      <w:tr w:rsidR="006D7515" w:rsidRPr="00E4396B" w:rsidTr="006D7515">
        <w:tc>
          <w:tcPr>
            <w:tcW w:w="1571" w:type="pct"/>
          </w:tcPr>
          <w:p w:rsidR="006D7515" w:rsidRPr="00E4396B" w:rsidRDefault="006D7515" w:rsidP="006D7515">
            <w:pPr>
              <w:rPr>
                <w:rFonts w:ascii="Arial" w:hAnsi="Arial" w:cs="Arial"/>
                <w:sz w:val="20"/>
                <w:szCs w:val="20"/>
              </w:rPr>
            </w:pPr>
            <w:r w:rsidRPr="00E4396B">
              <w:rPr>
                <w:rFonts w:ascii="Arial" w:hAnsi="Arial" w:cs="Arial"/>
                <w:sz w:val="20"/>
                <w:szCs w:val="20"/>
              </w:rPr>
              <w:t>7208_024_05_17408</w:t>
            </w:r>
          </w:p>
        </w:tc>
        <w:tc>
          <w:tcPr>
            <w:tcW w:w="2552" w:type="pct"/>
          </w:tcPr>
          <w:p w:rsidR="006D7515" w:rsidRPr="00E4396B" w:rsidRDefault="006D7515" w:rsidP="006D7515">
            <w:pPr>
              <w:rPr>
                <w:rFonts w:ascii="Arial" w:hAnsi="Arial" w:cs="Arial"/>
                <w:sz w:val="20"/>
                <w:szCs w:val="20"/>
              </w:rPr>
            </w:pPr>
            <w:r w:rsidRPr="00E4396B">
              <w:rPr>
                <w:rFonts w:ascii="Arial" w:hAnsi="Arial" w:cs="Arial"/>
                <w:sz w:val="20"/>
                <w:szCs w:val="20"/>
              </w:rPr>
              <w:t>Újezdec</w:t>
            </w:r>
          </w:p>
        </w:tc>
        <w:tc>
          <w:tcPr>
            <w:tcW w:w="877" w:type="pct"/>
            <w:vAlign w:val="center"/>
          </w:tcPr>
          <w:p w:rsidR="006D7515" w:rsidRPr="00E4396B" w:rsidRDefault="006D7515" w:rsidP="006D7515">
            <w:pPr>
              <w:jc w:val="right"/>
              <w:rPr>
                <w:rFonts w:ascii="Arial" w:hAnsi="Arial" w:cs="Arial"/>
                <w:sz w:val="20"/>
                <w:szCs w:val="20"/>
              </w:rPr>
            </w:pPr>
            <w:r w:rsidRPr="00E4396B">
              <w:rPr>
                <w:rFonts w:ascii="Arial" w:hAnsi="Arial" w:cs="Arial"/>
                <w:sz w:val="20"/>
                <w:szCs w:val="20"/>
              </w:rPr>
              <w:t>1020</w:t>
            </w:r>
          </w:p>
        </w:tc>
      </w:tr>
      <w:tr w:rsidR="006D7515" w:rsidRPr="00E4396B" w:rsidTr="00D05D51">
        <w:tc>
          <w:tcPr>
            <w:tcW w:w="1571" w:type="pct"/>
          </w:tcPr>
          <w:p w:rsidR="006D7515" w:rsidRPr="00E4396B" w:rsidRDefault="006D7515" w:rsidP="006D7515">
            <w:pPr>
              <w:rPr>
                <w:rFonts w:ascii="Arial" w:hAnsi="Arial" w:cs="Arial"/>
                <w:b/>
                <w:sz w:val="20"/>
                <w:szCs w:val="20"/>
              </w:rPr>
            </w:pPr>
          </w:p>
        </w:tc>
        <w:tc>
          <w:tcPr>
            <w:tcW w:w="2552" w:type="pct"/>
          </w:tcPr>
          <w:p w:rsidR="006D7515" w:rsidRPr="00E4396B" w:rsidRDefault="006D7515" w:rsidP="006D7515">
            <w:pPr>
              <w:rPr>
                <w:rFonts w:ascii="Arial" w:hAnsi="Arial" w:cs="Arial"/>
                <w:b/>
                <w:sz w:val="20"/>
                <w:szCs w:val="20"/>
              </w:rPr>
            </w:pPr>
            <w:r w:rsidRPr="00E4396B">
              <w:rPr>
                <w:rFonts w:ascii="Arial" w:hAnsi="Arial" w:cs="Arial"/>
                <w:b/>
                <w:sz w:val="20"/>
                <w:szCs w:val="20"/>
              </w:rPr>
              <w:t>CELKEM</w:t>
            </w:r>
          </w:p>
        </w:tc>
        <w:tc>
          <w:tcPr>
            <w:tcW w:w="877" w:type="pct"/>
          </w:tcPr>
          <w:p w:rsidR="006D7515" w:rsidRPr="00E4396B" w:rsidRDefault="006D7515" w:rsidP="006D7515">
            <w:pPr>
              <w:jc w:val="right"/>
              <w:rPr>
                <w:rFonts w:ascii="Arial" w:hAnsi="Arial" w:cs="Arial"/>
                <w:b/>
                <w:sz w:val="20"/>
                <w:szCs w:val="20"/>
              </w:rPr>
            </w:pPr>
            <w:r w:rsidRPr="00E4396B">
              <w:rPr>
                <w:rFonts w:ascii="Arial" w:hAnsi="Arial" w:cs="Arial"/>
                <w:b/>
                <w:bCs/>
                <w:sz w:val="20"/>
                <w:szCs w:val="20"/>
              </w:rPr>
              <w:t>16700</w:t>
            </w:r>
          </w:p>
        </w:tc>
      </w:tr>
    </w:tbl>
    <w:p w:rsidR="00755750" w:rsidRPr="00E4396B" w:rsidRDefault="00755750">
      <w:pPr>
        <w:rPr>
          <w:rFonts w:ascii="Arial" w:hAnsi="Arial" w:cs="Arial"/>
          <w:sz w:val="20"/>
          <w:szCs w:val="20"/>
        </w:rPr>
      </w:pPr>
    </w:p>
    <w:p w:rsidR="00755750" w:rsidRPr="00E4396B" w:rsidRDefault="00755750">
      <w:pPr>
        <w:pStyle w:val="Zkladntext"/>
        <w:rPr>
          <w:rFonts w:ascii="Arial" w:hAnsi="Arial" w:cs="Arial"/>
          <w:b/>
          <w:bCs/>
          <w:sz w:val="20"/>
          <w:szCs w:val="20"/>
        </w:rPr>
      </w:pPr>
      <w:r w:rsidRPr="00E4396B">
        <w:rPr>
          <w:rFonts w:ascii="Arial" w:hAnsi="Arial" w:cs="Arial"/>
          <w:sz w:val="20"/>
          <w:szCs w:val="20"/>
        </w:rPr>
        <w:t>Město Uherský Brod se nachází asi 22,5 km jižně od krajského města Zlín. Město je obtékáno řekou Olšavou (správce Povodí Moravy), do níž se v intravilánu města vlévají další potoky (Vinohradský, Mlýnský).</w:t>
      </w:r>
      <w:r w:rsidR="00D05D51" w:rsidRPr="00E4396B">
        <w:rPr>
          <w:rFonts w:ascii="Arial" w:hAnsi="Arial" w:cs="Arial"/>
          <w:sz w:val="20"/>
          <w:szCs w:val="20"/>
        </w:rPr>
        <w:t xml:space="preserve"> Nadmořská výška zástavby se pohybuje v cca 238 m n. m.</w:t>
      </w:r>
      <w:r w:rsidRPr="00E4396B">
        <w:rPr>
          <w:rFonts w:ascii="Arial" w:hAnsi="Arial" w:cs="Arial"/>
          <w:sz w:val="20"/>
          <w:szCs w:val="20"/>
        </w:rPr>
        <w:t xml:space="preserve"> </w:t>
      </w:r>
    </w:p>
    <w:p w:rsidR="00755750" w:rsidRPr="00E4396B" w:rsidRDefault="00755750">
      <w:pPr>
        <w:pStyle w:val="Nadpis2"/>
        <w:rPr>
          <w:rFonts w:cs="Arial"/>
        </w:rPr>
      </w:pPr>
      <w:r w:rsidRPr="00E4396B">
        <w:rPr>
          <w:rFonts w:cs="Arial"/>
        </w:rPr>
        <w:t xml:space="preserve">Popis současného zásobování pitnou vodou </w:t>
      </w:r>
    </w:p>
    <w:p w:rsidR="00755750" w:rsidRPr="00E4396B" w:rsidRDefault="00755750" w:rsidP="00D05D51">
      <w:pPr>
        <w:pStyle w:val="Bntext"/>
        <w:spacing w:before="0" w:line="240" w:lineRule="auto"/>
        <w:ind w:firstLine="0"/>
        <w:rPr>
          <w:sz w:val="20"/>
          <w:szCs w:val="20"/>
        </w:rPr>
      </w:pPr>
      <w:r w:rsidRPr="00E4396B">
        <w:rPr>
          <w:sz w:val="20"/>
          <w:szCs w:val="20"/>
        </w:rPr>
        <w:t>Město Uherský Brod má veřejný vodovod, který je součástí skupinového vodovodu Uherské Hradiště-Uherský Brod-Bojkovice. Vodovod je z </w:t>
      </w:r>
      <w:r w:rsidR="00F05FED" w:rsidRPr="00E4396B">
        <w:rPr>
          <w:sz w:val="20"/>
          <w:szCs w:val="20"/>
        </w:rPr>
        <w:t>97,36</w:t>
      </w:r>
      <w:r w:rsidRPr="00E4396B">
        <w:rPr>
          <w:sz w:val="20"/>
          <w:szCs w:val="20"/>
        </w:rPr>
        <w:t xml:space="preserve"> %</w:t>
      </w:r>
      <w:r w:rsidRPr="00E4396B">
        <w:rPr>
          <w:color w:val="FF0000"/>
          <w:sz w:val="20"/>
          <w:szCs w:val="20"/>
        </w:rPr>
        <w:t xml:space="preserve"> </w:t>
      </w:r>
      <w:r w:rsidRPr="00E4396B">
        <w:rPr>
          <w:sz w:val="20"/>
          <w:szCs w:val="20"/>
        </w:rPr>
        <w:t xml:space="preserve">v majetku SVK, a.s., ve správě SVK a.s. Městské části Havřice, Těšov, Újezdec jsou také napojené na výše uvedený SV, ale mají samostatný vodovod. Městská část Maršov vodovod nemá. (viz samostatné karty jednotlivých městských částí). </w:t>
      </w:r>
    </w:p>
    <w:p w:rsidR="00D05D51" w:rsidRPr="00E4396B" w:rsidRDefault="00D05D51">
      <w:pPr>
        <w:pStyle w:val="Bntext"/>
        <w:spacing w:line="240" w:lineRule="auto"/>
        <w:rPr>
          <w:sz w:val="20"/>
          <w:szCs w:val="20"/>
          <w:u w:val="single"/>
        </w:rPr>
      </w:pPr>
    </w:p>
    <w:p w:rsidR="00755750" w:rsidRPr="00E4396B" w:rsidRDefault="00755750">
      <w:pPr>
        <w:pStyle w:val="Bntext"/>
        <w:spacing w:line="240" w:lineRule="auto"/>
        <w:rPr>
          <w:sz w:val="20"/>
          <w:szCs w:val="20"/>
        </w:rPr>
      </w:pPr>
      <w:r w:rsidRPr="00E4396B">
        <w:rPr>
          <w:sz w:val="20"/>
          <w:szCs w:val="20"/>
          <w:u w:val="single"/>
        </w:rPr>
        <w:t>Zdroje skupinového vodovodu pro zásobení Uherského Brodu</w:t>
      </w:r>
      <w:r w:rsidRPr="00E4396B">
        <w:rPr>
          <w:sz w:val="20"/>
          <w:szCs w:val="20"/>
        </w:rPr>
        <w:t>:</w:t>
      </w:r>
    </w:p>
    <w:p w:rsidR="00755750" w:rsidRPr="00E4396B" w:rsidRDefault="00755750">
      <w:pPr>
        <w:pStyle w:val="Bntext"/>
        <w:spacing w:line="240" w:lineRule="auto"/>
        <w:rPr>
          <w:sz w:val="20"/>
          <w:szCs w:val="20"/>
        </w:rPr>
      </w:pPr>
      <w:r w:rsidRPr="00E4396B">
        <w:rPr>
          <w:sz w:val="20"/>
          <w:szCs w:val="20"/>
        </w:rPr>
        <w:t>1. Bystřice pod Lopeníkem - zdroj „U sedmi bratří“ Q</w:t>
      </w:r>
      <w:r w:rsidRPr="00E4396B">
        <w:rPr>
          <w:sz w:val="20"/>
          <w:szCs w:val="20"/>
          <w:vertAlign w:val="subscript"/>
        </w:rPr>
        <w:t>pov</w:t>
      </w:r>
      <w:r w:rsidRPr="00E4396B">
        <w:rPr>
          <w:sz w:val="20"/>
          <w:szCs w:val="20"/>
        </w:rPr>
        <w:t xml:space="preserve"> = 7 l.s</w:t>
      </w:r>
      <w:r w:rsidRPr="00E4396B">
        <w:rPr>
          <w:sz w:val="20"/>
          <w:szCs w:val="20"/>
          <w:vertAlign w:val="superscript"/>
        </w:rPr>
        <w:t>-1</w:t>
      </w:r>
      <w:r w:rsidRPr="00E4396B">
        <w:rPr>
          <w:sz w:val="20"/>
          <w:szCs w:val="20"/>
        </w:rPr>
        <w:t>a přebytky z jímacího území Bystřice pod Lopeníkem - prameniště Hrabůvka, Hrklávka, Nový a Záhumenice Q</w:t>
      </w:r>
      <w:r w:rsidRPr="00E4396B">
        <w:rPr>
          <w:sz w:val="20"/>
          <w:szCs w:val="20"/>
          <w:vertAlign w:val="subscript"/>
        </w:rPr>
        <w:t>pov</w:t>
      </w:r>
      <w:r w:rsidRPr="00E4396B">
        <w:rPr>
          <w:sz w:val="20"/>
          <w:szCs w:val="20"/>
        </w:rPr>
        <w:t>= 8,3  l.</w:t>
      </w:r>
      <w:r w:rsidRPr="00E4396B">
        <w:rPr>
          <w:sz w:val="20"/>
          <w:szCs w:val="20"/>
          <w:vertAlign w:val="superscript"/>
        </w:rPr>
        <w:t>s-1</w:t>
      </w:r>
      <w:r w:rsidRPr="00E4396B">
        <w:rPr>
          <w:sz w:val="20"/>
          <w:szCs w:val="20"/>
        </w:rPr>
        <w:t>; Bystřice pod Lopeníkem-Polana  Q</w:t>
      </w:r>
      <w:r w:rsidRPr="00E4396B">
        <w:rPr>
          <w:sz w:val="20"/>
          <w:szCs w:val="20"/>
          <w:vertAlign w:val="subscript"/>
        </w:rPr>
        <w:t>pov</w:t>
      </w:r>
      <w:r w:rsidRPr="00E4396B">
        <w:rPr>
          <w:sz w:val="20"/>
          <w:szCs w:val="20"/>
        </w:rPr>
        <w:t xml:space="preserve"> = 5,7 l.s</w:t>
      </w:r>
      <w:r w:rsidRPr="00E4396B">
        <w:rPr>
          <w:sz w:val="20"/>
          <w:szCs w:val="20"/>
          <w:vertAlign w:val="superscript"/>
        </w:rPr>
        <w:t>-1</w:t>
      </w:r>
      <w:r w:rsidRPr="00E4396B">
        <w:rPr>
          <w:sz w:val="20"/>
          <w:szCs w:val="20"/>
        </w:rPr>
        <w:t>).</w:t>
      </w:r>
    </w:p>
    <w:p w:rsidR="00755750" w:rsidRPr="00E4396B" w:rsidRDefault="00755750">
      <w:pPr>
        <w:pStyle w:val="Bntext"/>
        <w:spacing w:line="240" w:lineRule="auto"/>
        <w:rPr>
          <w:sz w:val="20"/>
          <w:szCs w:val="20"/>
        </w:rPr>
      </w:pPr>
      <w:r w:rsidRPr="00E4396B">
        <w:rPr>
          <w:sz w:val="20"/>
          <w:szCs w:val="20"/>
        </w:rPr>
        <w:t>2. Úpravna vody Těšov, upravující vodu z jímacích studní - infiltrovaná voda z řeky Olšavy. (Q</w:t>
      </w:r>
      <w:r w:rsidRPr="00E4396B">
        <w:rPr>
          <w:sz w:val="20"/>
          <w:szCs w:val="20"/>
          <w:vertAlign w:val="subscript"/>
        </w:rPr>
        <w:t>pov</w:t>
      </w:r>
      <w:r w:rsidRPr="00E4396B">
        <w:rPr>
          <w:sz w:val="20"/>
          <w:szCs w:val="20"/>
        </w:rPr>
        <w:t xml:space="preserve"> = 14 l.s</w:t>
      </w:r>
      <w:r w:rsidRPr="00E4396B">
        <w:rPr>
          <w:sz w:val="20"/>
          <w:szCs w:val="20"/>
          <w:vertAlign w:val="superscript"/>
        </w:rPr>
        <w:t>-1</w:t>
      </w:r>
      <w:r w:rsidRPr="00E4396B">
        <w:rPr>
          <w:sz w:val="20"/>
          <w:szCs w:val="20"/>
        </w:rPr>
        <w:t xml:space="preserve"> ...... kapacita ÚV Q = 20 l.s</w:t>
      </w:r>
      <w:r w:rsidRPr="00E4396B">
        <w:rPr>
          <w:sz w:val="20"/>
          <w:szCs w:val="20"/>
          <w:vertAlign w:val="superscript"/>
        </w:rPr>
        <w:t>-1</w:t>
      </w:r>
      <w:r w:rsidRPr="00E4396B">
        <w:rPr>
          <w:sz w:val="20"/>
          <w:szCs w:val="20"/>
        </w:rPr>
        <w:t>) s akumulací ÚV = 1x400 m</w:t>
      </w:r>
      <w:r w:rsidRPr="00E4396B">
        <w:rPr>
          <w:sz w:val="20"/>
          <w:szCs w:val="20"/>
          <w:vertAlign w:val="superscript"/>
        </w:rPr>
        <w:t>3</w:t>
      </w:r>
      <w:r w:rsidRPr="00E4396B">
        <w:rPr>
          <w:sz w:val="20"/>
          <w:szCs w:val="20"/>
        </w:rPr>
        <w:t xml:space="preserve"> s max. a min. hladinou 213,30/209,30 m.n.m. a akumulace (sběrna) s max. a min. hlad. 210,0/206,90 m.n.m. je v současné době MIMO PROVOZ – ZÁLOŽNÍ ZDROJ</w:t>
      </w:r>
    </w:p>
    <w:p w:rsidR="00755750" w:rsidRPr="00E4396B" w:rsidRDefault="00755750">
      <w:pPr>
        <w:pStyle w:val="Bntext"/>
        <w:spacing w:line="240" w:lineRule="auto"/>
        <w:rPr>
          <w:sz w:val="20"/>
          <w:szCs w:val="20"/>
        </w:rPr>
      </w:pPr>
      <w:r w:rsidRPr="00E4396B">
        <w:rPr>
          <w:sz w:val="20"/>
          <w:szCs w:val="20"/>
        </w:rPr>
        <w:t>3. Přivaděč ze skupiny Uherské Hradiště (zdroje Ostrožská Nová Ves)</w:t>
      </w:r>
    </w:p>
    <w:p w:rsidR="00755750" w:rsidRPr="00E4396B" w:rsidRDefault="00755750">
      <w:pPr>
        <w:pStyle w:val="Bntext"/>
        <w:spacing w:line="240" w:lineRule="auto"/>
        <w:rPr>
          <w:sz w:val="20"/>
          <w:szCs w:val="20"/>
        </w:rPr>
      </w:pPr>
      <w:r w:rsidRPr="00E4396B">
        <w:rPr>
          <w:sz w:val="20"/>
          <w:szCs w:val="20"/>
        </w:rPr>
        <w:t>4. Přivaděč ze skupiny Bojkovice (z ÚV Bojkovice)</w:t>
      </w:r>
    </w:p>
    <w:p w:rsidR="00D05D51" w:rsidRPr="00E4396B" w:rsidRDefault="00D05D51">
      <w:pPr>
        <w:pStyle w:val="Bntext"/>
        <w:spacing w:line="240" w:lineRule="auto"/>
        <w:rPr>
          <w:sz w:val="20"/>
          <w:szCs w:val="20"/>
          <w:u w:val="single"/>
        </w:rPr>
      </w:pPr>
    </w:p>
    <w:p w:rsidR="00755750" w:rsidRPr="00E4396B" w:rsidRDefault="00755750">
      <w:pPr>
        <w:pStyle w:val="Bntext"/>
        <w:spacing w:line="240" w:lineRule="auto"/>
        <w:rPr>
          <w:sz w:val="20"/>
          <w:szCs w:val="20"/>
        </w:rPr>
      </w:pPr>
      <w:r w:rsidRPr="00E4396B">
        <w:rPr>
          <w:sz w:val="20"/>
          <w:szCs w:val="20"/>
          <w:u w:val="single"/>
        </w:rPr>
        <w:t>Akumulace a zásobení tlakových pásem města:</w:t>
      </w:r>
    </w:p>
    <w:p w:rsidR="00755750" w:rsidRPr="00E4396B" w:rsidRDefault="00755750">
      <w:pPr>
        <w:pStyle w:val="Bntext"/>
        <w:spacing w:line="240" w:lineRule="auto"/>
        <w:rPr>
          <w:sz w:val="20"/>
          <w:szCs w:val="20"/>
        </w:rPr>
      </w:pPr>
      <w:r w:rsidRPr="00E4396B">
        <w:rPr>
          <w:b/>
          <w:bCs/>
          <w:sz w:val="20"/>
          <w:szCs w:val="20"/>
        </w:rPr>
        <w:t xml:space="preserve">Vodojem Lapač </w:t>
      </w:r>
      <w:r w:rsidRPr="00E4396B">
        <w:rPr>
          <w:sz w:val="20"/>
          <w:szCs w:val="20"/>
        </w:rPr>
        <w:t>1x1000 m</w:t>
      </w:r>
      <w:r w:rsidRPr="00E4396B">
        <w:rPr>
          <w:sz w:val="20"/>
          <w:szCs w:val="20"/>
          <w:vertAlign w:val="superscript"/>
        </w:rPr>
        <w:t>3</w:t>
      </w:r>
      <w:r w:rsidRPr="00E4396B">
        <w:rPr>
          <w:sz w:val="20"/>
          <w:szCs w:val="20"/>
        </w:rPr>
        <w:t xml:space="preserve"> s max. a min. hladinou 293,00/289,10 m.</w:t>
      </w:r>
      <w:r w:rsidR="00F05FED" w:rsidRPr="00E4396B">
        <w:rPr>
          <w:sz w:val="20"/>
          <w:szCs w:val="20"/>
        </w:rPr>
        <w:t xml:space="preserve"> </w:t>
      </w:r>
      <w:r w:rsidRPr="00E4396B">
        <w:rPr>
          <w:sz w:val="20"/>
          <w:szCs w:val="20"/>
        </w:rPr>
        <w:t>n.</w:t>
      </w:r>
      <w:r w:rsidR="00F05FED" w:rsidRPr="00E4396B">
        <w:rPr>
          <w:sz w:val="20"/>
          <w:szCs w:val="20"/>
        </w:rPr>
        <w:t xml:space="preserve"> </w:t>
      </w:r>
      <w:r w:rsidRPr="00E4396B">
        <w:rPr>
          <w:sz w:val="20"/>
          <w:szCs w:val="20"/>
        </w:rPr>
        <w:t>m. býval plněn gravitačním přivaděčem DN 150 z prameniště Bánov a Hrabůvka, Hrklávka, Nový a Záhumenice (z VDJ Bánov 2x250 m</w:t>
      </w:r>
      <w:r w:rsidRPr="00E4396B">
        <w:rPr>
          <w:sz w:val="20"/>
          <w:szCs w:val="20"/>
          <w:vertAlign w:val="superscript"/>
        </w:rPr>
        <w:t>3</w:t>
      </w:r>
      <w:r w:rsidRPr="00E4396B">
        <w:rPr>
          <w:sz w:val="20"/>
          <w:szCs w:val="20"/>
        </w:rPr>
        <w:t xml:space="preserve"> s max. a min. hlad. 338,00/334,70 m.</w:t>
      </w:r>
      <w:r w:rsidR="00F05FED" w:rsidRPr="00E4396B">
        <w:rPr>
          <w:sz w:val="20"/>
          <w:szCs w:val="20"/>
        </w:rPr>
        <w:t xml:space="preserve"> </w:t>
      </w:r>
      <w:r w:rsidRPr="00E4396B">
        <w:rPr>
          <w:sz w:val="20"/>
          <w:szCs w:val="20"/>
        </w:rPr>
        <w:t>n.</w:t>
      </w:r>
      <w:r w:rsidR="00F05FED" w:rsidRPr="00E4396B">
        <w:rPr>
          <w:sz w:val="20"/>
          <w:szCs w:val="20"/>
        </w:rPr>
        <w:t xml:space="preserve"> </w:t>
      </w:r>
      <w:r w:rsidRPr="00E4396B">
        <w:rPr>
          <w:sz w:val="20"/>
          <w:szCs w:val="20"/>
        </w:rPr>
        <w:t xml:space="preserve">m.), nyní je přivaděč propojený na výtlak I. TP a přivaděč Bojkovice - Uherský Brod. Dále je plněn odbočkou z výtlaku z ČS „Kino Svět“ do VDJ III TP. </w:t>
      </w:r>
    </w:p>
    <w:p w:rsidR="00755750" w:rsidRPr="00E4396B" w:rsidRDefault="00755750">
      <w:pPr>
        <w:pStyle w:val="Bntext"/>
        <w:spacing w:line="240" w:lineRule="auto"/>
        <w:rPr>
          <w:sz w:val="20"/>
          <w:szCs w:val="20"/>
        </w:rPr>
      </w:pPr>
      <w:r w:rsidRPr="00E4396B">
        <w:rPr>
          <w:sz w:val="20"/>
          <w:szCs w:val="20"/>
        </w:rPr>
        <w:t>Z VDJ Lapač je zásobení II. TP zahrnující asi polovinu středu města.</w:t>
      </w:r>
    </w:p>
    <w:p w:rsidR="00755750" w:rsidRPr="00E4396B" w:rsidRDefault="00755750">
      <w:pPr>
        <w:pStyle w:val="Bntext"/>
        <w:spacing w:line="240" w:lineRule="auto"/>
        <w:rPr>
          <w:sz w:val="20"/>
          <w:szCs w:val="20"/>
        </w:rPr>
      </w:pPr>
      <w:r w:rsidRPr="00E4396B">
        <w:rPr>
          <w:b/>
          <w:bCs/>
          <w:sz w:val="20"/>
          <w:szCs w:val="20"/>
        </w:rPr>
        <w:t xml:space="preserve">Vodojem „Kino Svět“ </w:t>
      </w:r>
      <w:r w:rsidRPr="00E4396B">
        <w:rPr>
          <w:sz w:val="20"/>
          <w:szCs w:val="20"/>
        </w:rPr>
        <w:t>2x200 m</w:t>
      </w:r>
      <w:r w:rsidRPr="00E4396B">
        <w:rPr>
          <w:sz w:val="20"/>
          <w:szCs w:val="20"/>
          <w:vertAlign w:val="superscript"/>
        </w:rPr>
        <w:t>3</w:t>
      </w:r>
      <w:r w:rsidRPr="00E4396B">
        <w:rPr>
          <w:sz w:val="20"/>
          <w:szCs w:val="20"/>
        </w:rPr>
        <w:t xml:space="preserve"> (starý) max. a min. hl. 262,20/257,55 + 1000 m</w:t>
      </w:r>
      <w:r w:rsidRPr="00E4396B">
        <w:rPr>
          <w:sz w:val="20"/>
          <w:szCs w:val="20"/>
          <w:vertAlign w:val="superscript"/>
        </w:rPr>
        <w:t>3</w:t>
      </w:r>
      <w:r w:rsidRPr="00E4396B">
        <w:rPr>
          <w:sz w:val="20"/>
          <w:szCs w:val="20"/>
        </w:rPr>
        <w:t xml:space="preserve">  (nový) s max. a min. hladinou 262,20/257,55 m n.m. (t.j. celkem 1400 m</w:t>
      </w:r>
      <w:r w:rsidRPr="00E4396B">
        <w:rPr>
          <w:sz w:val="20"/>
          <w:szCs w:val="20"/>
          <w:vertAlign w:val="superscript"/>
        </w:rPr>
        <w:t>3</w:t>
      </w:r>
      <w:r w:rsidRPr="00E4396B">
        <w:rPr>
          <w:sz w:val="20"/>
          <w:szCs w:val="20"/>
        </w:rPr>
        <w:t>) je plněn:</w:t>
      </w:r>
    </w:p>
    <w:p w:rsidR="00755750" w:rsidRPr="00E4396B" w:rsidRDefault="00755750">
      <w:pPr>
        <w:pStyle w:val="Bntext"/>
        <w:spacing w:line="240" w:lineRule="auto"/>
        <w:rPr>
          <w:sz w:val="20"/>
          <w:szCs w:val="20"/>
        </w:rPr>
      </w:pPr>
      <w:r w:rsidRPr="00E4396B">
        <w:rPr>
          <w:sz w:val="20"/>
          <w:szCs w:val="20"/>
        </w:rPr>
        <w:t>a) výtlačným potrubím DN 200 z ÚV Těšov, resp. z přivaděče od Bojkovic</w:t>
      </w:r>
    </w:p>
    <w:p w:rsidR="00755750" w:rsidRPr="00E4396B" w:rsidRDefault="00755750" w:rsidP="00FF4D33">
      <w:pPr>
        <w:pStyle w:val="Bntext"/>
        <w:spacing w:before="0" w:line="240" w:lineRule="auto"/>
        <w:rPr>
          <w:sz w:val="20"/>
          <w:szCs w:val="20"/>
        </w:rPr>
      </w:pPr>
      <w:r w:rsidRPr="00E4396B">
        <w:rPr>
          <w:sz w:val="20"/>
          <w:szCs w:val="20"/>
        </w:rPr>
        <w:t>b) samostatným výtlačným řadem DN 350, 300 z vod. „Černá Hora“ 3300 m</w:t>
      </w:r>
      <w:r w:rsidRPr="00E4396B">
        <w:rPr>
          <w:sz w:val="20"/>
          <w:szCs w:val="20"/>
          <w:vertAlign w:val="superscript"/>
        </w:rPr>
        <w:t>3</w:t>
      </w:r>
      <w:r w:rsidRPr="00E4396B">
        <w:rPr>
          <w:sz w:val="20"/>
          <w:szCs w:val="20"/>
        </w:rPr>
        <w:t xml:space="preserve"> </w:t>
      </w:r>
      <w:r w:rsidRPr="00E4396B">
        <w:rPr>
          <w:sz w:val="20"/>
          <w:szCs w:val="20"/>
        </w:rPr>
        <w:tab/>
      </w:r>
      <w:r w:rsidRPr="00E4396B">
        <w:rPr>
          <w:sz w:val="20"/>
          <w:szCs w:val="20"/>
        </w:rPr>
        <w:tab/>
        <w:t>s max. a min. hlad. 264,20/260,30 m n.m.</w:t>
      </w:r>
    </w:p>
    <w:p w:rsidR="00755750" w:rsidRPr="00E4396B" w:rsidRDefault="00755750" w:rsidP="00FF4D33">
      <w:pPr>
        <w:pStyle w:val="Bntext"/>
        <w:spacing w:before="0" w:line="240" w:lineRule="auto"/>
        <w:rPr>
          <w:sz w:val="20"/>
          <w:szCs w:val="20"/>
        </w:rPr>
      </w:pPr>
      <w:r w:rsidRPr="00E4396B">
        <w:rPr>
          <w:sz w:val="20"/>
          <w:szCs w:val="20"/>
        </w:rPr>
        <w:t>c) možnost plnění přes řad „K“ z I. tlakového pásma.</w:t>
      </w:r>
    </w:p>
    <w:p w:rsidR="00755750" w:rsidRPr="00E4396B" w:rsidRDefault="00755750">
      <w:pPr>
        <w:pStyle w:val="Bntext"/>
        <w:spacing w:line="240" w:lineRule="auto"/>
        <w:rPr>
          <w:sz w:val="20"/>
          <w:szCs w:val="20"/>
        </w:rPr>
      </w:pPr>
      <w:r w:rsidRPr="00E4396B">
        <w:rPr>
          <w:sz w:val="20"/>
          <w:szCs w:val="20"/>
        </w:rPr>
        <w:t>Z VDJ u kina Svět jsou zásobeny :</w:t>
      </w:r>
      <w:r w:rsidRPr="00E4396B">
        <w:rPr>
          <w:sz w:val="20"/>
          <w:szCs w:val="20"/>
        </w:rPr>
        <w:tab/>
        <w:t>I. TP, část V. TP, obec Havřice, část Těšova a zároveň slouží jako akumulace pro čerpání do  II a III TP.</w:t>
      </w:r>
    </w:p>
    <w:p w:rsidR="00755750" w:rsidRPr="00E4396B" w:rsidRDefault="00755750">
      <w:pPr>
        <w:pStyle w:val="Bntext"/>
        <w:spacing w:line="240" w:lineRule="auto"/>
        <w:rPr>
          <w:b/>
          <w:bCs/>
          <w:sz w:val="20"/>
          <w:szCs w:val="20"/>
        </w:rPr>
      </w:pPr>
    </w:p>
    <w:p w:rsidR="00755750" w:rsidRPr="00E4396B" w:rsidRDefault="00755750">
      <w:pPr>
        <w:pStyle w:val="Bntext"/>
        <w:spacing w:line="240" w:lineRule="auto"/>
        <w:rPr>
          <w:sz w:val="20"/>
          <w:szCs w:val="20"/>
        </w:rPr>
      </w:pPr>
      <w:r w:rsidRPr="00E4396B">
        <w:rPr>
          <w:b/>
          <w:bCs/>
          <w:sz w:val="20"/>
          <w:szCs w:val="20"/>
        </w:rPr>
        <w:lastRenderedPageBreak/>
        <w:t>Vodojem „Černá Hora“</w:t>
      </w:r>
      <w:r w:rsidRPr="00E4396B">
        <w:rPr>
          <w:sz w:val="20"/>
          <w:szCs w:val="20"/>
        </w:rPr>
        <w:t xml:space="preserve"> 2x1000 m</w:t>
      </w:r>
      <w:r w:rsidRPr="00E4396B">
        <w:rPr>
          <w:sz w:val="20"/>
          <w:szCs w:val="20"/>
          <w:vertAlign w:val="superscript"/>
        </w:rPr>
        <w:t>3</w:t>
      </w:r>
      <w:r w:rsidRPr="00E4396B">
        <w:rPr>
          <w:sz w:val="20"/>
          <w:szCs w:val="20"/>
        </w:rPr>
        <w:t xml:space="preserve"> + 2x650 m</w:t>
      </w:r>
      <w:r w:rsidRPr="00E4396B">
        <w:rPr>
          <w:sz w:val="20"/>
          <w:szCs w:val="20"/>
          <w:vertAlign w:val="superscript"/>
        </w:rPr>
        <w:t>3</w:t>
      </w:r>
      <w:r w:rsidRPr="00E4396B">
        <w:rPr>
          <w:sz w:val="20"/>
          <w:szCs w:val="20"/>
        </w:rPr>
        <w:t xml:space="preserve"> (t.j. celkem 3300 m</w:t>
      </w:r>
      <w:r w:rsidRPr="00E4396B">
        <w:rPr>
          <w:sz w:val="20"/>
          <w:szCs w:val="20"/>
          <w:vertAlign w:val="superscript"/>
        </w:rPr>
        <w:t>3</w:t>
      </w:r>
      <w:r w:rsidRPr="00E4396B">
        <w:rPr>
          <w:sz w:val="20"/>
          <w:szCs w:val="20"/>
        </w:rPr>
        <w:t>) s max. a min. hlad. 264,20/260,30 m.</w:t>
      </w:r>
      <w:r w:rsidR="00F05FED" w:rsidRPr="00E4396B">
        <w:rPr>
          <w:sz w:val="20"/>
          <w:szCs w:val="20"/>
        </w:rPr>
        <w:t xml:space="preserve"> </w:t>
      </w:r>
      <w:r w:rsidRPr="00E4396B">
        <w:rPr>
          <w:sz w:val="20"/>
          <w:szCs w:val="20"/>
        </w:rPr>
        <w:t>n.</w:t>
      </w:r>
      <w:r w:rsidR="00F05FED" w:rsidRPr="00E4396B">
        <w:rPr>
          <w:sz w:val="20"/>
          <w:szCs w:val="20"/>
        </w:rPr>
        <w:t xml:space="preserve"> </w:t>
      </w:r>
      <w:r w:rsidRPr="00E4396B">
        <w:rPr>
          <w:sz w:val="20"/>
          <w:szCs w:val="20"/>
        </w:rPr>
        <w:t>m. je plněn přivaděčem ze skupiny Uherské Hradiště z ÚV Ostrožská Nová Ves přes vodojem Hluk 2x1000 m</w:t>
      </w:r>
      <w:r w:rsidRPr="00E4396B">
        <w:rPr>
          <w:sz w:val="20"/>
          <w:szCs w:val="20"/>
          <w:vertAlign w:val="superscript"/>
        </w:rPr>
        <w:t>3</w:t>
      </w:r>
      <w:r w:rsidRPr="00E4396B">
        <w:rPr>
          <w:sz w:val="20"/>
          <w:szCs w:val="20"/>
        </w:rPr>
        <w:t xml:space="preserve"> s max. a min. hlad. 289,35/284,61 m.</w:t>
      </w:r>
      <w:r w:rsidR="00F05FED" w:rsidRPr="00E4396B">
        <w:rPr>
          <w:sz w:val="20"/>
          <w:szCs w:val="20"/>
        </w:rPr>
        <w:t xml:space="preserve"> </w:t>
      </w:r>
      <w:r w:rsidRPr="00E4396B">
        <w:rPr>
          <w:sz w:val="20"/>
          <w:szCs w:val="20"/>
        </w:rPr>
        <w:t>n.</w:t>
      </w:r>
      <w:r w:rsidR="00F05FED" w:rsidRPr="00E4396B">
        <w:rPr>
          <w:sz w:val="20"/>
          <w:szCs w:val="20"/>
        </w:rPr>
        <w:t xml:space="preserve"> </w:t>
      </w:r>
      <w:r w:rsidRPr="00E4396B">
        <w:rPr>
          <w:sz w:val="20"/>
          <w:szCs w:val="20"/>
        </w:rPr>
        <w:t>m. gravitačně nebo pomocí zrychlovací stanice (pro zvýšení kapacity přivaděče) na okraji města Hluk. Z VDJ Černá Hora vycházejí</w:t>
      </w:r>
      <w:r w:rsidR="00F05FED" w:rsidRPr="00E4396B">
        <w:rPr>
          <w:sz w:val="20"/>
          <w:szCs w:val="20"/>
        </w:rPr>
        <w:t xml:space="preserve"> </w:t>
      </w:r>
      <w:r w:rsidRPr="00E4396B">
        <w:rPr>
          <w:sz w:val="20"/>
          <w:szCs w:val="20"/>
        </w:rPr>
        <w:t xml:space="preserve">přivaděče : </w:t>
      </w:r>
    </w:p>
    <w:p w:rsidR="00755750" w:rsidRPr="00E4396B" w:rsidRDefault="00755750">
      <w:pPr>
        <w:pStyle w:val="Bntext"/>
        <w:numPr>
          <w:ilvl w:val="0"/>
          <w:numId w:val="12"/>
        </w:numPr>
        <w:spacing w:line="240" w:lineRule="auto"/>
        <w:rPr>
          <w:sz w:val="20"/>
          <w:szCs w:val="20"/>
        </w:rPr>
      </w:pPr>
      <w:r w:rsidRPr="00E4396B">
        <w:rPr>
          <w:sz w:val="20"/>
          <w:szCs w:val="20"/>
        </w:rPr>
        <w:t>VDJ Černá hora – kino Svět</w:t>
      </w:r>
    </w:p>
    <w:p w:rsidR="00755750" w:rsidRPr="00E4396B" w:rsidRDefault="00755750">
      <w:pPr>
        <w:pStyle w:val="Bntext"/>
        <w:numPr>
          <w:ilvl w:val="0"/>
          <w:numId w:val="12"/>
        </w:numPr>
        <w:spacing w:line="240" w:lineRule="auto"/>
        <w:rPr>
          <w:sz w:val="20"/>
          <w:szCs w:val="20"/>
        </w:rPr>
      </w:pPr>
      <w:r w:rsidRPr="00E4396B">
        <w:rPr>
          <w:sz w:val="20"/>
          <w:szCs w:val="20"/>
        </w:rPr>
        <w:t>VDJ Černá hora – sídliště Olšava</w:t>
      </w:r>
    </w:p>
    <w:p w:rsidR="00755750" w:rsidRPr="00E4396B" w:rsidRDefault="00755750">
      <w:pPr>
        <w:pStyle w:val="Bntext"/>
        <w:numPr>
          <w:ilvl w:val="0"/>
          <w:numId w:val="12"/>
        </w:numPr>
        <w:spacing w:line="240" w:lineRule="auto"/>
        <w:rPr>
          <w:sz w:val="20"/>
          <w:szCs w:val="20"/>
        </w:rPr>
      </w:pPr>
      <w:r w:rsidRPr="00E4396B">
        <w:rPr>
          <w:sz w:val="20"/>
          <w:szCs w:val="20"/>
        </w:rPr>
        <w:t>VDJ Černá hora – Nivnice</w:t>
      </w:r>
    </w:p>
    <w:p w:rsidR="00755750" w:rsidRPr="00E4396B" w:rsidRDefault="00755750">
      <w:pPr>
        <w:pStyle w:val="Bntext"/>
        <w:spacing w:line="240" w:lineRule="auto"/>
        <w:ind w:firstLine="0"/>
        <w:rPr>
          <w:sz w:val="20"/>
          <w:szCs w:val="20"/>
        </w:rPr>
      </w:pPr>
      <w:r w:rsidRPr="00E4396B">
        <w:rPr>
          <w:sz w:val="20"/>
          <w:szCs w:val="20"/>
        </w:rPr>
        <w:t>Z těchto přivaděčů je zásobována část V.TP a po propojení všech přivaděčů v V.TP je voda vedena přívodním řadem do obce Nivnice.</w:t>
      </w:r>
    </w:p>
    <w:p w:rsidR="00755750" w:rsidRPr="00E4396B" w:rsidRDefault="00755750">
      <w:pPr>
        <w:pStyle w:val="Bntext"/>
        <w:spacing w:line="240" w:lineRule="auto"/>
        <w:rPr>
          <w:sz w:val="20"/>
          <w:szCs w:val="20"/>
        </w:rPr>
      </w:pPr>
      <w:r w:rsidRPr="00E4396B">
        <w:rPr>
          <w:b/>
          <w:bCs/>
          <w:sz w:val="20"/>
          <w:szCs w:val="20"/>
        </w:rPr>
        <w:t>Vodojem III TP</w:t>
      </w:r>
      <w:r w:rsidRPr="00E4396B">
        <w:rPr>
          <w:sz w:val="20"/>
          <w:szCs w:val="20"/>
        </w:rPr>
        <w:t xml:space="preserve"> 1x650 m</w:t>
      </w:r>
      <w:r w:rsidRPr="00E4396B">
        <w:rPr>
          <w:sz w:val="20"/>
          <w:szCs w:val="20"/>
          <w:vertAlign w:val="superscript"/>
        </w:rPr>
        <w:t>3</w:t>
      </w:r>
      <w:r w:rsidRPr="00E4396B">
        <w:rPr>
          <w:sz w:val="20"/>
          <w:szCs w:val="20"/>
        </w:rPr>
        <w:t xml:space="preserve"> s max. a min. hladinou 324,10/319,14 m.n.m. je plněn výtlakem LT, DN 250 mm z ČS u vodojemu „Kino-Svět-Nový“. Z tohoto vodojemu je zásobeno III. TP. města zahrnující severní část města a sídliště „Pod Vinohrady“. Z tohoto vodojemu je gravitačně plněn VDJ „Prakšice“ 2x400 m</w:t>
      </w:r>
      <w:r w:rsidRPr="00E4396B">
        <w:rPr>
          <w:sz w:val="20"/>
          <w:szCs w:val="20"/>
          <w:vertAlign w:val="superscript"/>
        </w:rPr>
        <w:t>3</w:t>
      </w:r>
      <w:r w:rsidRPr="00E4396B">
        <w:rPr>
          <w:sz w:val="20"/>
          <w:szCs w:val="20"/>
        </w:rPr>
        <w:t xml:space="preserve"> s max. a min. hladinou 281,70/277,80 m.</w:t>
      </w:r>
      <w:r w:rsidR="00F05FED" w:rsidRPr="00E4396B">
        <w:rPr>
          <w:sz w:val="20"/>
          <w:szCs w:val="20"/>
        </w:rPr>
        <w:t xml:space="preserve"> </w:t>
      </w:r>
      <w:r w:rsidRPr="00E4396B">
        <w:rPr>
          <w:sz w:val="20"/>
          <w:szCs w:val="20"/>
        </w:rPr>
        <w:t>n.</w:t>
      </w:r>
      <w:r w:rsidR="00F05FED" w:rsidRPr="00E4396B">
        <w:rPr>
          <w:sz w:val="20"/>
          <w:szCs w:val="20"/>
        </w:rPr>
        <w:t xml:space="preserve"> </w:t>
      </w:r>
      <w:r w:rsidRPr="00E4396B">
        <w:rPr>
          <w:sz w:val="20"/>
          <w:szCs w:val="20"/>
        </w:rPr>
        <w:t>m. pro obec Prakšice a Pašovice. V lokalitě sídliště „Pod Vinohrady II“ jsou osazeny redukční ventily, 2x snižující tlak pro níže položené objekty sídliště.</w:t>
      </w:r>
    </w:p>
    <w:p w:rsidR="00755750" w:rsidRPr="00E4396B" w:rsidRDefault="00755750">
      <w:pPr>
        <w:pStyle w:val="Bntext"/>
        <w:spacing w:line="240" w:lineRule="auto"/>
        <w:rPr>
          <w:sz w:val="20"/>
          <w:szCs w:val="20"/>
        </w:rPr>
      </w:pPr>
      <w:r w:rsidRPr="00E4396B">
        <w:rPr>
          <w:b/>
          <w:bCs/>
          <w:sz w:val="20"/>
          <w:szCs w:val="20"/>
        </w:rPr>
        <w:t xml:space="preserve">Vodojem „Těšov“ </w:t>
      </w:r>
      <w:r w:rsidRPr="00E4396B">
        <w:rPr>
          <w:sz w:val="20"/>
          <w:szCs w:val="20"/>
        </w:rPr>
        <w:t>2x300 m</w:t>
      </w:r>
      <w:r w:rsidRPr="00E4396B">
        <w:rPr>
          <w:sz w:val="20"/>
          <w:szCs w:val="20"/>
          <w:vertAlign w:val="superscript"/>
        </w:rPr>
        <w:t xml:space="preserve">3  </w:t>
      </w:r>
      <w:r w:rsidRPr="00E4396B">
        <w:rPr>
          <w:sz w:val="20"/>
          <w:szCs w:val="20"/>
        </w:rPr>
        <w:t>s max. a min. hladinou 288,50/284,50 m.</w:t>
      </w:r>
      <w:r w:rsidR="00F05FED" w:rsidRPr="00E4396B">
        <w:rPr>
          <w:sz w:val="20"/>
          <w:szCs w:val="20"/>
        </w:rPr>
        <w:t xml:space="preserve"> </w:t>
      </w:r>
      <w:r w:rsidRPr="00E4396B">
        <w:rPr>
          <w:sz w:val="20"/>
          <w:szCs w:val="20"/>
        </w:rPr>
        <w:t>n.</w:t>
      </w:r>
      <w:r w:rsidR="00F05FED" w:rsidRPr="00E4396B">
        <w:rPr>
          <w:sz w:val="20"/>
          <w:szCs w:val="20"/>
        </w:rPr>
        <w:t xml:space="preserve"> </w:t>
      </w:r>
      <w:r w:rsidRPr="00E4396B">
        <w:rPr>
          <w:sz w:val="20"/>
          <w:szCs w:val="20"/>
        </w:rPr>
        <w:t>m. a 1x1000 m</w:t>
      </w:r>
      <w:r w:rsidRPr="00E4396B">
        <w:rPr>
          <w:sz w:val="20"/>
          <w:szCs w:val="20"/>
          <w:vertAlign w:val="superscript"/>
        </w:rPr>
        <w:t>3</w:t>
      </w:r>
      <w:r w:rsidRPr="00E4396B">
        <w:rPr>
          <w:sz w:val="20"/>
          <w:szCs w:val="20"/>
        </w:rPr>
        <w:t xml:space="preserve"> (nový) s max. a min.</w:t>
      </w:r>
      <w:r w:rsidR="00F05FED" w:rsidRPr="00E4396B">
        <w:rPr>
          <w:sz w:val="20"/>
          <w:szCs w:val="20"/>
        </w:rPr>
        <w:t xml:space="preserve"> </w:t>
      </w:r>
      <w:r w:rsidRPr="00E4396B">
        <w:rPr>
          <w:sz w:val="20"/>
          <w:szCs w:val="20"/>
        </w:rPr>
        <w:t>hlad. 289,30/285,80 m.</w:t>
      </w:r>
      <w:r w:rsidR="00F05FED" w:rsidRPr="00E4396B">
        <w:rPr>
          <w:sz w:val="20"/>
          <w:szCs w:val="20"/>
        </w:rPr>
        <w:t xml:space="preserve"> </w:t>
      </w:r>
      <w:r w:rsidRPr="00E4396B">
        <w:rPr>
          <w:sz w:val="20"/>
          <w:szCs w:val="20"/>
        </w:rPr>
        <w:t>n.</w:t>
      </w:r>
      <w:r w:rsidR="00F05FED" w:rsidRPr="00E4396B">
        <w:rPr>
          <w:sz w:val="20"/>
          <w:szCs w:val="20"/>
        </w:rPr>
        <w:t xml:space="preserve"> </w:t>
      </w:r>
      <w:r w:rsidRPr="00E4396B">
        <w:rPr>
          <w:sz w:val="20"/>
          <w:szCs w:val="20"/>
        </w:rPr>
        <w:t>m. je plněn z propojených přivaděčů přes ČS v odstavené ÚV Těšov. Z tohoto vodojemu jsou zásobeny samostatně městské části Těšov a Újezdec a IV. TP sídliště Uherský Brod.</w:t>
      </w:r>
    </w:p>
    <w:p w:rsidR="00755750" w:rsidRPr="00E4396B" w:rsidRDefault="00755750">
      <w:pPr>
        <w:pStyle w:val="Bntext"/>
        <w:spacing w:line="240" w:lineRule="auto"/>
        <w:rPr>
          <w:sz w:val="20"/>
          <w:szCs w:val="20"/>
        </w:rPr>
      </w:pPr>
      <w:r w:rsidRPr="00E4396B">
        <w:rPr>
          <w:b/>
          <w:bCs/>
          <w:sz w:val="20"/>
          <w:szCs w:val="20"/>
        </w:rPr>
        <w:t>Vodojem „Havřice“</w:t>
      </w:r>
      <w:r w:rsidRPr="00E4396B">
        <w:rPr>
          <w:sz w:val="20"/>
          <w:szCs w:val="20"/>
        </w:rPr>
        <w:t xml:space="preserve"> 2x150 m</w:t>
      </w:r>
      <w:r w:rsidRPr="00E4396B">
        <w:rPr>
          <w:sz w:val="20"/>
          <w:szCs w:val="20"/>
          <w:vertAlign w:val="superscript"/>
        </w:rPr>
        <w:t>3</w:t>
      </w:r>
      <w:r w:rsidRPr="00E4396B">
        <w:rPr>
          <w:sz w:val="20"/>
          <w:szCs w:val="20"/>
        </w:rPr>
        <w:t xml:space="preserve"> s max. a min. hladinou 247,00/243,00 m n.</w:t>
      </w:r>
      <w:r w:rsidR="00E62BE8" w:rsidRPr="00E4396B">
        <w:rPr>
          <w:sz w:val="20"/>
          <w:szCs w:val="20"/>
        </w:rPr>
        <w:t xml:space="preserve"> </w:t>
      </w:r>
      <w:r w:rsidRPr="00E4396B">
        <w:rPr>
          <w:sz w:val="20"/>
          <w:szCs w:val="20"/>
        </w:rPr>
        <w:t>m. je vybudován jako koncový, vyrovnávací. Je plněn napojením na zásob. síť I. TP a zásobuje samostatně polovinu městské části Havřice.</w:t>
      </w:r>
    </w:p>
    <w:p w:rsidR="00755750" w:rsidRPr="00E4396B" w:rsidRDefault="00755750" w:rsidP="00FF4D33">
      <w:pPr>
        <w:pStyle w:val="Bntext"/>
        <w:spacing w:line="240" w:lineRule="auto"/>
        <w:ind w:firstLine="0"/>
        <w:rPr>
          <w:sz w:val="20"/>
          <w:szCs w:val="20"/>
        </w:rPr>
      </w:pPr>
      <w:r w:rsidRPr="00E4396B">
        <w:rPr>
          <w:sz w:val="20"/>
          <w:szCs w:val="20"/>
        </w:rPr>
        <w:t>Rozvodná síť pokrývá celé zastavěné území města, v místech nově navržené a realizované výstavby se budou uliční řady průběžně doplňovat. Pro možnost posílení zdrojů je do ÚV Těšov vybudován přivaděč DN 200 z přivaděče Bojkovice-Uherský Brod, přivádějící gravitačně vodu přes ÚV a výtlak do vodojemu I. TP. V současné době, kdy je ÚV Těšov mimo provoz je voda z přivaděče čerpána do VDJ Těšov. Vodovod je v provozu od roku 1932, průběžně rekonstruován. Funkce vodovodu je zajištěna automatikou se signalizací mezních stavů na dispečinku SVK a.s.</w:t>
      </w:r>
    </w:p>
    <w:p w:rsidR="00755750" w:rsidRPr="00E4396B" w:rsidRDefault="00755750">
      <w:pPr>
        <w:pStyle w:val="Nadpis2"/>
        <w:rPr>
          <w:rFonts w:cs="Arial"/>
        </w:rPr>
      </w:pPr>
      <w:r w:rsidRPr="00E4396B">
        <w:rPr>
          <w:rFonts w:cs="Arial"/>
        </w:rPr>
        <w:t>Rozvoj vodovodů ve výhledovém období</w:t>
      </w:r>
    </w:p>
    <w:p w:rsidR="00D05D51" w:rsidRPr="00E4396B" w:rsidRDefault="00D05D51" w:rsidP="00FF4D33">
      <w:pPr>
        <w:pStyle w:val="Bntext"/>
        <w:spacing w:before="0" w:line="240" w:lineRule="auto"/>
        <w:ind w:firstLine="0"/>
        <w:rPr>
          <w:sz w:val="20"/>
          <w:szCs w:val="20"/>
        </w:rPr>
      </w:pPr>
      <w:r w:rsidRPr="00E4396B">
        <w:rPr>
          <w:sz w:val="20"/>
          <w:szCs w:val="20"/>
        </w:rPr>
        <w:t xml:space="preserve">Předpokládané rozvojové lokality smíšené zóny jsou identifikovány v jihovýchodní části města kolem komunikace I/50 a propojení na Šumice. </w:t>
      </w:r>
    </w:p>
    <w:p w:rsidR="00755750" w:rsidRPr="00E4396B" w:rsidRDefault="00755750">
      <w:pPr>
        <w:pStyle w:val="Bntext"/>
        <w:spacing w:line="240" w:lineRule="auto"/>
        <w:ind w:firstLine="0"/>
        <w:rPr>
          <w:sz w:val="20"/>
          <w:szCs w:val="20"/>
        </w:rPr>
      </w:pPr>
      <w:r w:rsidRPr="00E4396B">
        <w:rPr>
          <w:sz w:val="20"/>
          <w:szCs w:val="20"/>
        </w:rPr>
        <w:t>V rámci plánovaných investic je třeba řešit:</w:t>
      </w:r>
    </w:p>
    <w:p w:rsidR="00BE4E33" w:rsidRPr="00E4396B" w:rsidRDefault="00BE4E33">
      <w:pPr>
        <w:pStyle w:val="Bntext"/>
        <w:spacing w:line="240" w:lineRule="auto"/>
        <w:rPr>
          <w:sz w:val="20"/>
          <w:szCs w:val="20"/>
          <w:u w:val="single"/>
        </w:rPr>
      </w:pPr>
    </w:p>
    <w:p w:rsidR="00755750" w:rsidRPr="00E4396B" w:rsidRDefault="00755750">
      <w:pPr>
        <w:pStyle w:val="Bntext"/>
        <w:spacing w:line="240" w:lineRule="auto"/>
        <w:rPr>
          <w:sz w:val="20"/>
          <w:szCs w:val="20"/>
        </w:rPr>
      </w:pPr>
      <w:r w:rsidRPr="00E4396B">
        <w:rPr>
          <w:sz w:val="20"/>
          <w:szCs w:val="20"/>
          <w:u w:val="single"/>
        </w:rPr>
        <w:t>a) rekonstrukce</w:t>
      </w:r>
      <w:r w:rsidRPr="00E4396B">
        <w:rPr>
          <w:sz w:val="20"/>
          <w:szCs w:val="20"/>
        </w:rPr>
        <w:t>:</w:t>
      </w:r>
    </w:p>
    <w:p w:rsidR="00755750" w:rsidRPr="00E4396B" w:rsidRDefault="00755750">
      <w:pPr>
        <w:pStyle w:val="Bntext"/>
        <w:spacing w:line="240" w:lineRule="auto"/>
        <w:ind w:firstLine="0"/>
        <w:rPr>
          <w:color w:val="C00000"/>
          <w:sz w:val="20"/>
          <w:szCs w:val="20"/>
        </w:rPr>
      </w:pPr>
      <w:r w:rsidRPr="00E4396B">
        <w:rPr>
          <w:sz w:val="20"/>
          <w:szCs w:val="20"/>
        </w:rPr>
        <w:t>vodovod. řady                              r. 2005-2010  cca 1km/rok</w:t>
      </w:r>
    </w:p>
    <w:p w:rsidR="00755750" w:rsidRPr="00E4396B" w:rsidRDefault="00755750">
      <w:pPr>
        <w:pStyle w:val="Bntext"/>
        <w:spacing w:line="240" w:lineRule="auto"/>
        <w:ind w:firstLine="0"/>
        <w:rPr>
          <w:sz w:val="20"/>
          <w:szCs w:val="20"/>
        </w:rPr>
      </w:pPr>
      <w:r w:rsidRPr="00E4396B">
        <w:rPr>
          <w:sz w:val="20"/>
          <w:szCs w:val="20"/>
        </w:rPr>
        <w:t xml:space="preserve">přivaděč (Bánov-Uhr. Brod)   </w:t>
      </w:r>
      <w:r w:rsidR="00364C9A" w:rsidRPr="00E4396B">
        <w:rPr>
          <w:sz w:val="20"/>
          <w:szCs w:val="20"/>
        </w:rPr>
        <w:t xml:space="preserve">     </w:t>
      </w:r>
      <w:r w:rsidRPr="00E4396B">
        <w:rPr>
          <w:sz w:val="20"/>
          <w:szCs w:val="20"/>
        </w:rPr>
        <w:t xml:space="preserve"> </w:t>
      </w:r>
      <w:r w:rsidR="00364C9A" w:rsidRPr="00E4396B">
        <w:rPr>
          <w:sz w:val="20"/>
          <w:szCs w:val="20"/>
        </w:rPr>
        <w:t>r.</w:t>
      </w:r>
      <w:r w:rsidRPr="00E4396B">
        <w:rPr>
          <w:sz w:val="20"/>
          <w:szCs w:val="20"/>
        </w:rPr>
        <w:t xml:space="preserve"> </w:t>
      </w:r>
      <w:r w:rsidR="00364C9A" w:rsidRPr="00E4396B">
        <w:rPr>
          <w:sz w:val="20"/>
          <w:szCs w:val="20"/>
        </w:rPr>
        <w:t xml:space="preserve"> 2016 - 2017 dl. 4,1 km</w:t>
      </w:r>
      <w:r w:rsidRPr="00E4396B">
        <w:rPr>
          <w:sz w:val="20"/>
          <w:szCs w:val="20"/>
        </w:rPr>
        <w:t xml:space="preserve">   předpoklad -</w:t>
      </w:r>
      <w:r w:rsidR="0041753D" w:rsidRPr="00E4396B">
        <w:rPr>
          <w:sz w:val="20"/>
          <w:szCs w:val="20"/>
        </w:rPr>
        <w:t>10</w:t>
      </w:r>
      <w:r w:rsidRPr="00E4396B">
        <w:rPr>
          <w:sz w:val="20"/>
          <w:szCs w:val="20"/>
        </w:rPr>
        <w:t>,000.000,-Kč</w:t>
      </w:r>
    </w:p>
    <w:p w:rsidR="0069516C" w:rsidRPr="00E4396B" w:rsidRDefault="0069516C">
      <w:pPr>
        <w:pStyle w:val="Bntext"/>
        <w:spacing w:line="240" w:lineRule="auto"/>
        <w:ind w:firstLine="0"/>
        <w:rPr>
          <w:color w:val="C00000"/>
          <w:sz w:val="20"/>
          <w:szCs w:val="20"/>
        </w:rPr>
      </w:pPr>
      <w:r w:rsidRPr="00E4396B">
        <w:rPr>
          <w:sz w:val="20"/>
          <w:szCs w:val="20"/>
        </w:rPr>
        <w:t>přivaděč (Šumice-Uhr. Brod)       r.  2017 dl. 2,1 km   předpoklad -4,000.000,-Kč</w:t>
      </w:r>
    </w:p>
    <w:p w:rsidR="00BE4E33" w:rsidRPr="00E4396B" w:rsidRDefault="00BE4E33">
      <w:pPr>
        <w:pStyle w:val="Bntext"/>
        <w:spacing w:line="240" w:lineRule="auto"/>
        <w:rPr>
          <w:sz w:val="20"/>
          <w:szCs w:val="20"/>
        </w:rPr>
      </w:pPr>
    </w:p>
    <w:p w:rsidR="00755750" w:rsidRPr="00E4396B" w:rsidRDefault="00755750">
      <w:pPr>
        <w:pStyle w:val="Bntext"/>
        <w:spacing w:line="240" w:lineRule="auto"/>
        <w:rPr>
          <w:sz w:val="20"/>
          <w:szCs w:val="20"/>
        </w:rPr>
      </w:pPr>
      <w:r w:rsidRPr="00E4396B">
        <w:rPr>
          <w:sz w:val="20"/>
          <w:szCs w:val="20"/>
          <w:u w:val="single"/>
        </w:rPr>
        <w:t>b) nové investice</w:t>
      </w:r>
      <w:r w:rsidRPr="00E4396B">
        <w:rPr>
          <w:sz w:val="20"/>
          <w:szCs w:val="20"/>
        </w:rPr>
        <w:t>:</w:t>
      </w:r>
    </w:p>
    <w:p w:rsidR="00A76AE2" w:rsidRPr="00E4396B" w:rsidRDefault="00755750" w:rsidP="00A76AE2">
      <w:pPr>
        <w:pStyle w:val="Bntext"/>
        <w:spacing w:line="240" w:lineRule="auto"/>
        <w:ind w:firstLine="567"/>
        <w:rPr>
          <w:sz w:val="20"/>
          <w:szCs w:val="20"/>
        </w:rPr>
      </w:pPr>
      <w:r w:rsidRPr="00E4396B">
        <w:rPr>
          <w:sz w:val="20"/>
          <w:szCs w:val="20"/>
        </w:rPr>
        <w:t>V rámci posílení Bojkovické části skupinového vodovodu pro případ nouzového zásobování je uvažováno se zkapacitněním přívodního řadu z ÚV Ostrožská Nová Ves do Bojkovic. Zkapacitnění si vyžádá technická opatření na trase. Jedná se o výměnu čerpací techniky na ÚV Ostrožská Nová Ves (175 l.s</w:t>
      </w:r>
      <w:r w:rsidRPr="00E4396B">
        <w:rPr>
          <w:sz w:val="20"/>
          <w:szCs w:val="20"/>
          <w:vertAlign w:val="superscript"/>
        </w:rPr>
        <w:t>-1</w:t>
      </w:r>
      <w:r w:rsidRPr="00E4396B">
        <w:rPr>
          <w:sz w:val="20"/>
          <w:szCs w:val="20"/>
        </w:rPr>
        <w:t>), výměnu čerpací techniky v ZČS Hluk (Q= 147 l.s</w:t>
      </w:r>
      <w:r w:rsidRPr="00E4396B">
        <w:rPr>
          <w:sz w:val="20"/>
          <w:szCs w:val="20"/>
          <w:vertAlign w:val="superscript"/>
        </w:rPr>
        <w:t>-1</w:t>
      </w:r>
      <w:r w:rsidRPr="00E4396B">
        <w:rPr>
          <w:sz w:val="20"/>
          <w:szCs w:val="20"/>
        </w:rPr>
        <w:t>)</w:t>
      </w:r>
      <w:r w:rsidRPr="00E4396B">
        <w:rPr>
          <w:b/>
          <w:bCs/>
          <w:sz w:val="20"/>
          <w:szCs w:val="20"/>
        </w:rPr>
        <w:t>, vybudování výtlačného řadu z ÚV Těšov do VDJ Šumice z LT DN 250 dl. 4480 m</w:t>
      </w:r>
      <w:r w:rsidRPr="00E4396B">
        <w:rPr>
          <w:sz w:val="20"/>
          <w:szCs w:val="20"/>
        </w:rPr>
        <w:t xml:space="preserve">, a propoje mezi ČS v ÚV Bojkovice a hlavním řadem do VDJ Vápeničky. </w:t>
      </w:r>
      <w:r w:rsidR="00A76AE2" w:rsidRPr="00E4396B">
        <w:rPr>
          <w:sz w:val="20"/>
          <w:szCs w:val="20"/>
        </w:rPr>
        <w:t>Do oprav provozovatele je zařazený vodovodní řad A38 v ul. Šumická LT DN 65 DL. 176m.</w:t>
      </w:r>
    </w:p>
    <w:p w:rsidR="00755750" w:rsidRPr="00E4396B" w:rsidRDefault="00755750">
      <w:pPr>
        <w:pStyle w:val="Bntext"/>
        <w:spacing w:line="240" w:lineRule="auto"/>
        <w:ind w:firstLine="567"/>
        <w:rPr>
          <w:sz w:val="20"/>
          <w:szCs w:val="20"/>
        </w:rPr>
      </w:pPr>
    </w:p>
    <w:p w:rsidR="00755750" w:rsidRPr="00E4396B" w:rsidRDefault="00755750">
      <w:pPr>
        <w:pStyle w:val="Nadpis2"/>
        <w:rPr>
          <w:rFonts w:cs="Arial"/>
        </w:rPr>
      </w:pPr>
      <w:r w:rsidRPr="00E4396B">
        <w:rPr>
          <w:rFonts w:cs="Arial"/>
        </w:rPr>
        <w:t>Vymezení zdrojů povrchových a podzemních vod uvažovaných pro účely úpravy na vodu pitnou</w:t>
      </w:r>
    </w:p>
    <w:p w:rsidR="00755750" w:rsidRPr="00E4396B" w:rsidRDefault="00755750" w:rsidP="00FF4D33">
      <w:pPr>
        <w:pStyle w:val="Bntext"/>
        <w:spacing w:before="0" w:line="240" w:lineRule="auto"/>
        <w:ind w:firstLine="0"/>
        <w:rPr>
          <w:sz w:val="20"/>
          <w:szCs w:val="20"/>
        </w:rPr>
      </w:pPr>
      <w:r w:rsidRPr="00E4396B">
        <w:rPr>
          <w:sz w:val="20"/>
          <w:szCs w:val="20"/>
        </w:rPr>
        <w:t>V rámci Uher</w:t>
      </w:r>
      <w:r w:rsidR="00D05D51" w:rsidRPr="00E4396B">
        <w:rPr>
          <w:sz w:val="20"/>
          <w:szCs w:val="20"/>
        </w:rPr>
        <w:t>s</w:t>
      </w:r>
      <w:r w:rsidRPr="00E4396B">
        <w:rPr>
          <w:sz w:val="20"/>
          <w:szCs w:val="20"/>
        </w:rPr>
        <w:t>kého Brodu není uvažován žádný zdroj pro účely úpravy na pitnou vodu.</w:t>
      </w:r>
    </w:p>
    <w:p w:rsidR="00755750" w:rsidRPr="00E4396B" w:rsidRDefault="00755750">
      <w:pPr>
        <w:pStyle w:val="Nadpis2"/>
        <w:rPr>
          <w:rFonts w:cs="Arial"/>
        </w:rPr>
      </w:pPr>
      <w:r w:rsidRPr="00E4396B">
        <w:rPr>
          <w:rFonts w:cs="Arial"/>
        </w:rPr>
        <w:lastRenderedPageBreak/>
        <w:t>Varianty nouzového zásobování pitnou vodou za krizové situace (jako podklad pro krizový plán obce a kraje)</w:t>
      </w:r>
    </w:p>
    <w:p w:rsidR="00755750" w:rsidRPr="00D05D51" w:rsidRDefault="00755750" w:rsidP="00FF4D33">
      <w:pPr>
        <w:pStyle w:val="Bntext"/>
        <w:spacing w:before="0" w:line="240" w:lineRule="auto"/>
        <w:ind w:firstLine="0"/>
        <w:rPr>
          <w:sz w:val="20"/>
          <w:szCs w:val="20"/>
        </w:rPr>
      </w:pPr>
      <w:r w:rsidRPr="00E4396B">
        <w:rPr>
          <w:sz w:val="20"/>
          <w:szCs w:val="20"/>
        </w:rPr>
        <w:t>Vodovod v Uherském Brodu je napojen na skupinový vodovod Uherské Hradiště-Uherský Brod-Bojkovice. V případě úplného přerušení dodávky pitné vody ze skupinového vodovodu bude nutné obyvatelstvo Uherského Brodu zásobovat pitnou vodou z cisteren. Při spotřebě 15 litrů na obyvatele a de</w:t>
      </w:r>
      <w:r w:rsidR="00B4360D" w:rsidRPr="00E4396B">
        <w:rPr>
          <w:sz w:val="20"/>
          <w:szCs w:val="20"/>
        </w:rPr>
        <w:t xml:space="preserve">n bude třeba do města dodat </w:t>
      </w:r>
      <w:r w:rsidR="00D05D51" w:rsidRPr="00E4396B">
        <w:rPr>
          <w:sz w:val="20"/>
          <w:szCs w:val="20"/>
        </w:rPr>
        <w:t xml:space="preserve">203 </w:t>
      </w:r>
      <w:r w:rsidRPr="00E4396B">
        <w:rPr>
          <w:sz w:val="20"/>
          <w:szCs w:val="20"/>
        </w:rPr>
        <w:t>m</w:t>
      </w:r>
      <w:r w:rsidRPr="00E4396B">
        <w:rPr>
          <w:sz w:val="20"/>
          <w:szCs w:val="20"/>
          <w:vertAlign w:val="superscript"/>
        </w:rPr>
        <w:t>3</w:t>
      </w:r>
      <w:r w:rsidRPr="00E4396B">
        <w:rPr>
          <w:sz w:val="20"/>
          <w:szCs w:val="20"/>
        </w:rPr>
        <w:t>.den</w:t>
      </w:r>
      <w:r w:rsidRPr="00E4396B">
        <w:rPr>
          <w:sz w:val="20"/>
          <w:szCs w:val="20"/>
          <w:vertAlign w:val="superscript"/>
        </w:rPr>
        <w:t>-1</w:t>
      </w:r>
      <w:r w:rsidRPr="00E4396B">
        <w:rPr>
          <w:sz w:val="20"/>
          <w:szCs w:val="20"/>
        </w:rPr>
        <w:t>. Dopady výpadku jednotlivých zdrojů Skupinového vodovodu Uherské Hradiště-Uherský Brod-Bojkovice na zásobování obyvatelstva pitnou vodou jsou řešeny v popisech měst a obcí na jejichž území se zdroj nachází. Uherský Brod je zásobován pitnou vodou z ÚV Bojkovice, Bystřice pod Lopeníkem (zdroj „U sedmi bratří“ Q</w:t>
      </w:r>
      <w:r w:rsidRPr="00E4396B">
        <w:rPr>
          <w:sz w:val="20"/>
          <w:szCs w:val="20"/>
          <w:vertAlign w:val="subscript"/>
        </w:rPr>
        <w:t>pov</w:t>
      </w:r>
      <w:r w:rsidRPr="00E4396B">
        <w:rPr>
          <w:sz w:val="20"/>
          <w:szCs w:val="20"/>
        </w:rPr>
        <w:t xml:space="preserve"> = 7 l.s</w:t>
      </w:r>
      <w:r w:rsidRPr="00E4396B">
        <w:rPr>
          <w:sz w:val="20"/>
          <w:szCs w:val="20"/>
          <w:vertAlign w:val="superscript"/>
        </w:rPr>
        <w:t xml:space="preserve">-1 </w:t>
      </w:r>
      <w:r w:rsidRPr="00E4396B">
        <w:rPr>
          <w:sz w:val="20"/>
          <w:szCs w:val="20"/>
        </w:rPr>
        <w:t>a přebytky z jímacího území Bystřice pod Lopeníkem - prameniště Hrabůvka, Hrklávka, Nový a Záhumenice Q</w:t>
      </w:r>
      <w:r w:rsidRPr="00E4396B">
        <w:rPr>
          <w:sz w:val="20"/>
          <w:szCs w:val="20"/>
          <w:vertAlign w:val="subscript"/>
        </w:rPr>
        <w:t>pov</w:t>
      </w:r>
      <w:r w:rsidRPr="00E4396B">
        <w:rPr>
          <w:sz w:val="20"/>
          <w:szCs w:val="20"/>
        </w:rPr>
        <w:t>= 8,3 l.</w:t>
      </w:r>
      <w:r w:rsidRPr="00E4396B">
        <w:rPr>
          <w:sz w:val="20"/>
          <w:szCs w:val="20"/>
          <w:vertAlign w:val="superscript"/>
        </w:rPr>
        <w:t>s-1</w:t>
      </w:r>
      <w:r w:rsidRPr="00E4396B">
        <w:rPr>
          <w:sz w:val="20"/>
          <w:szCs w:val="20"/>
        </w:rPr>
        <w:t>; Bystřice pod Lopeníkem-Polana  Q</w:t>
      </w:r>
      <w:r w:rsidRPr="00E4396B">
        <w:rPr>
          <w:sz w:val="20"/>
          <w:szCs w:val="20"/>
          <w:vertAlign w:val="subscript"/>
        </w:rPr>
        <w:t>pov</w:t>
      </w:r>
      <w:r w:rsidRPr="00E4396B">
        <w:rPr>
          <w:sz w:val="20"/>
          <w:szCs w:val="20"/>
        </w:rPr>
        <w:t xml:space="preserve"> = 5,7 l.s</w:t>
      </w:r>
      <w:r w:rsidRPr="00E4396B">
        <w:rPr>
          <w:sz w:val="20"/>
          <w:szCs w:val="20"/>
          <w:vertAlign w:val="superscript"/>
        </w:rPr>
        <w:t>-1</w:t>
      </w:r>
      <w:r w:rsidRPr="00E4396B">
        <w:rPr>
          <w:sz w:val="20"/>
          <w:szCs w:val="20"/>
        </w:rPr>
        <w:t>), Úpravny vody Těšov ( v současné době MIMO PROVOZ – ZÁLOŽNÍ ZDROJ) a z přivaděče ze skupiny Uherské Hradiště (zdroj Ostrožská Nová Ves).</w:t>
      </w:r>
    </w:p>
    <w:p w:rsidR="00755750" w:rsidRPr="00D05D51" w:rsidRDefault="00755750">
      <w:pPr>
        <w:rPr>
          <w:rFonts w:ascii="Arial" w:hAnsi="Arial" w:cs="Arial"/>
          <w:sz w:val="20"/>
          <w:szCs w:val="20"/>
        </w:rPr>
      </w:pPr>
    </w:p>
    <w:sectPr w:rsidR="00755750" w:rsidRPr="00D05D51" w:rsidSect="00D05D51">
      <w:headerReference w:type="even" r:id="rId7"/>
      <w:headerReference w:type="default" r:id="rId8"/>
      <w:footerReference w:type="even" r:id="rId9"/>
      <w:footerReference w:type="default" r:id="rId10"/>
      <w:headerReference w:type="first" r:id="rId11"/>
      <w:footerReference w:type="first" r:id="rId12"/>
      <w:pgSz w:w="11907" w:h="16840" w:code="9"/>
      <w:pgMar w:top="1276" w:right="1418" w:bottom="726" w:left="1418" w:header="567" w:footer="79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5C1C" w:rsidRDefault="00795C1C">
      <w:r>
        <w:separator/>
      </w:r>
    </w:p>
  </w:endnote>
  <w:endnote w:type="continuationSeparator" w:id="0">
    <w:p w:rsidR="00795C1C" w:rsidRDefault="00795C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D51" w:rsidRDefault="00D05D5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D51" w:rsidRPr="00C26D80" w:rsidRDefault="00D05D51" w:rsidP="00C26D80">
    <w:pPr>
      <w:pStyle w:val="Zpat"/>
      <w:pBdr>
        <w:top w:val="single" w:sz="4" w:space="1" w:color="auto"/>
      </w:pBdr>
      <w:tabs>
        <w:tab w:val="clear" w:pos="4536"/>
        <w:tab w:val="clear" w:pos="9072"/>
        <w:tab w:val="center" w:pos="4253"/>
        <w:tab w:val="right" w:pos="9071"/>
      </w:tabs>
      <w:rPr>
        <w:rFonts w:ascii="Arial" w:hAnsi="Arial" w:cs="Arial"/>
        <w:sz w:val="20"/>
        <w:szCs w:val="20"/>
      </w:rPr>
    </w:pPr>
    <w:r>
      <w:rPr>
        <w:rFonts w:ascii="Arial" w:hAnsi="Arial" w:cs="Arial"/>
        <w:sz w:val="20"/>
        <w:szCs w:val="20"/>
      </w:rPr>
      <w:t>aktualizace 2015</w:t>
    </w:r>
    <w:r>
      <w:rPr>
        <w:rFonts w:ascii="Arial" w:hAnsi="Arial" w:cs="Arial"/>
        <w:sz w:val="20"/>
        <w:szCs w:val="20"/>
      </w:rPr>
      <w:tab/>
      <w:t>v_7208_024_01_41264</w:t>
    </w:r>
    <w:r>
      <w:rPr>
        <w:rFonts w:ascii="Arial" w:hAnsi="Arial" w:cs="Arial"/>
        <w:sz w:val="20"/>
        <w:szCs w:val="20"/>
      </w:rPr>
      <w:tab/>
      <w:t xml:space="preserve">Strana: </w:t>
    </w: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sidR="006831DF">
      <w:rPr>
        <w:rFonts w:ascii="Arial" w:hAnsi="Arial" w:cs="Arial"/>
        <w:noProof/>
        <w:sz w:val="20"/>
        <w:szCs w:val="20"/>
      </w:rPr>
      <w:t>3</w:t>
    </w:r>
    <w:r>
      <w:rPr>
        <w:rFonts w:ascii="Arial" w:hAnsi="Arial" w:cs="Arial"/>
        <w:sz w:val="20"/>
        <w:szCs w:val="20"/>
      </w:rPr>
      <w:fldChar w:fldCharType="end"/>
    </w:r>
    <w:r>
      <w:rPr>
        <w:rFonts w:ascii="Arial" w:hAnsi="Arial" w:cs="Arial"/>
        <w:sz w:val="20"/>
        <w:szCs w:val="20"/>
      </w:rPr>
      <w:t>/</w:t>
    </w:r>
    <w:fldSimple w:instr=" NUMPAGES  \* MERGEFORMAT ">
      <w:r w:rsidR="006831DF">
        <w:rPr>
          <w:rFonts w:ascii="Arial" w:hAnsi="Arial" w:cs="Arial"/>
          <w:noProof/>
          <w:sz w:val="20"/>
          <w:szCs w:val="20"/>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D51" w:rsidRDefault="00D05D5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5C1C" w:rsidRDefault="00795C1C">
      <w:r>
        <w:separator/>
      </w:r>
    </w:p>
  </w:footnote>
  <w:footnote w:type="continuationSeparator" w:id="0">
    <w:p w:rsidR="00795C1C" w:rsidRDefault="00795C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D51" w:rsidRDefault="00D05D51">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1DF" w:rsidRPr="006831DF" w:rsidRDefault="006831DF" w:rsidP="00C26D80">
    <w:pPr>
      <w:pStyle w:val="Zhlav"/>
      <w:pBdr>
        <w:bottom w:val="single" w:sz="4" w:space="0" w:color="auto"/>
      </w:pBdr>
      <w:tabs>
        <w:tab w:val="clear" w:pos="4536"/>
        <w:tab w:val="clear" w:pos="9072"/>
        <w:tab w:val="right" w:pos="9071"/>
      </w:tabs>
      <w:rPr>
        <w:rFonts w:ascii="Arial" w:hAnsi="Arial" w:cs="Arial"/>
        <w:sz w:val="20"/>
        <w:szCs w:val="20"/>
      </w:rPr>
    </w:pPr>
    <w:r>
      <w:rPr>
        <w:rFonts w:ascii="Arial" w:hAnsi="Arial" w:cs="Arial"/>
        <w:b/>
        <w:sz w:val="20"/>
        <w:szCs w:val="20"/>
      </w:rPr>
      <w:t>Plán rozvoje vodovodů a kanalizací Zlínského kraje</w:t>
    </w:r>
    <w:r w:rsidRPr="006831DF">
      <w:rPr>
        <w:rFonts w:ascii="Arial" w:hAnsi="Arial" w:cs="Arial"/>
        <w:b/>
        <w:color w:val="FFFFFF"/>
        <w:sz w:val="20"/>
        <w:szCs w:val="20"/>
      </w:rPr>
      <w:t xml:space="preserve">. </w:t>
    </w:r>
    <w:r w:rsidRPr="006831DF">
      <w:rPr>
        <w:rFonts w:ascii="Arial" w:hAnsi="Arial" w:cs="Arial"/>
        <w:sz w:val="20"/>
        <w:szCs w:val="20"/>
      </w:rPr>
      <w:tab/>
      <w:t xml:space="preserve"> </w:t>
    </w:r>
  </w:p>
  <w:p w:rsidR="00D05D51" w:rsidRPr="006831DF" w:rsidRDefault="006831DF" w:rsidP="00C26D80">
    <w:pPr>
      <w:pStyle w:val="Zhlav"/>
      <w:pBdr>
        <w:bottom w:val="single" w:sz="4" w:space="0" w:color="auto"/>
      </w:pBdr>
      <w:tabs>
        <w:tab w:val="clear" w:pos="4536"/>
        <w:tab w:val="clear" w:pos="9072"/>
        <w:tab w:val="right" w:pos="9071"/>
      </w:tabs>
      <w:rPr>
        <w:rFonts w:ascii="Arial" w:hAnsi="Arial" w:cs="Arial"/>
        <w:sz w:val="20"/>
        <w:szCs w:val="28"/>
      </w:rPr>
    </w:pPr>
    <w:r w:rsidRPr="006831DF">
      <w:rPr>
        <w:rFonts w:ascii="Arial" w:hAnsi="Arial" w:cs="Arial"/>
        <w:sz w:val="20"/>
        <w:szCs w:val="20"/>
      </w:rPr>
      <w:t xml:space="preserve">TEXTOVÁ ČÁST - </w:t>
    </w:r>
    <w:r>
      <w:rPr>
        <w:rFonts w:ascii="Arial" w:hAnsi="Arial" w:cs="Arial"/>
        <w:b/>
        <w:sz w:val="20"/>
        <w:szCs w:val="20"/>
      </w:rPr>
      <w:t>VODOVODY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D51" w:rsidRDefault="00D05D51">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D3DAD0DA"/>
    <w:lvl w:ilvl="0">
      <w:start w:val="1"/>
      <w:numFmt w:val="bullet"/>
      <w:pStyle w:val="Seznamsodrkami3"/>
      <w:lvlText w:val=""/>
      <w:lvlJc w:val="left"/>
      <w:pPr>
        <w:tabs>
          <w:tab w:val="num" w:pos="926"/>
        </w:tabs>
        <w:ind w:left="926" w:hanging="360"/>
      </w:pPr>
      <w:rPr>
        <w:rFonts w:ascii="Symbol" w:hAnsi="Symbol" w:hint="default"/>
      </w:rPr>
    </w:lvl>
  </w:abstractNum>
  <w:abstractNum w:abstractNumId="1">
    <w:nsid w:val="FFFFFF83"/>
    <w:multiLevelType w:val="singleLevel"/>
    <w:tmpl w:val="F8B26BBE"/>
    <w:lvl w:ilvl="0">
      <w:start w:val="1"/>
      <w:numFmt w:val="bullet"/>
      <w:pStyle w:val="Seznamsodrkami2"/>
      <w:lvlText w:val=""/>
      <w:lvlJc w:val="left"/>
      <w:pPr>
        <w:tabs>
          <w:tab w:val="num" w:pos="643"/>
        </w:tabs>
        <w:ind w:left="643" w:hanging="360"/>
      </w:pPr>
      <w:rPr>
        <w:rFonts w:ascii="Symbol" w:hAnsi="Symbol" w:hint="default"/>
      </w:rPr>
    </w:lvl>
  </w:abstractNum>
  <w:abstractNum w:abstractNumId="2">
    <w:nsid w:val="FFFFFF88"/>
    <w:multiLevelType w:val="singleLevel"/>
    <w:tmpl w:val="1A4638DC"/>
    <w:lvl w:ilvl="0">
      <w:start w:val="1"/>
      <w:numFmt w:val="decimal"/>
      <w:lvlText w:val="%1."/>
      <w:lvlJc w:val="left"/>
      <w:pPr>
        <w:tabs>
          <w:tab w:val="num" w:pos="360"/>
        </w:tabs>
        <w:ind w:left="360" w:hanging="360"/>
      </w:pPr>
    </w:lvl>
  </w:abstractNum>
  <w:abstractNum w:abstractNumId="3">
    <w:nsid w:val="FFFFFF89"/>
    <w:multiLevelType w:val="singleLevel"/>
    <w:tmpl w:val="88B633FA"/>
    <w:lvl w:ilvl="0">
      <w:start w:val="1"/>
      <w:numFmt w:val="bullet"/>
      <w:lvlText w:val=""/>
      <w:lvlJc w:val="left"/>
      <w:pPr>
        <w:tabs>
          <w:tab w:val="num" w:pos="360"/>
        </w:tabs>
        <w:ind w:left="360" w:hanging="360"/>
      </w:pPr>
      <w:rPr>
        <w:rFonts w:ascii="Symbol" w:hAnsi="Symbol" w:cs="Symbol" w:hint="default"/>
      </w:rPr>
    </w:lvl>
  </w:abstractNum>
  <w:abstractNum w:abstractNumId="4">
    <w:nsid w:val="15410F87"/>
    <w:multiLevelType w:val="hybridMultilevel"/>
    <w:tmpl w:val="C87E0C3E"/>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nsid w:val="3D657FCD"/>
    <w:multiLevelType w:val="multilevel"/>
    <w:tmpl w:val="0405000F"/>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83B479D"/>
    <w:multiLevelType w:val="hybridMultilevel"/>
    <w:tmpl w:val="2B98C15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64F97307"/>
    <w:multiLevelType w:val="hybridMultilevel"/>
    <w:tmpl w:val="0866AF7E"/>
    <w:lvl w:ilvl="0" w:tplc="42E22DF2">
      <w:start w:val="1"/>
      <w:numFmt w:val="decimal"/>
      <w:lvlText w:val="%1."/>
      <w:lvlJc w:val="left"/>
      <w:pPr>
        <w:tabs>
          <w:tab w:val="num" w:pos="1211"/>
        </w:tabs>
        <w:ind w:left="1211" w:hanging="360"/>
      </w:pPr>
      <w:rPr>
        <w:rFonts w:hint="default"/>
      </w:rPr>
    </w:lvl>
    <w:lvl w:ilvl="1" w:tplc="04050019">
      <w:start w:val="1"/>
      <w:numFmt w:val="lowerLetter"/>
      <w:lvlText w:val="%2."/>
      <w:lvlJc w:val="left"/>
      <w:pPr>
        <w:tabs>
          <w:tab w:val="num" w:pos="1931"/>
        </w:tabs>
        <w:ind w:left="1931" w:hanging="360"/>
      </w:pPr>
    </w:lvl>
    <w:lvl w:ilvl="2" w:tplc="0405001B">
      <w:start w:val="1"/>
      <w:numFmt w:val="lowerRoman"/>
      <w:lvlText w:val="%3."/>
      <w:lvlJc w:val="right"/>
      <w:pPr>
        <w:tabs>
          <w:tab w:val="num" w:pos="2651"/>
        </w:tabs>
        <w:ind w:left="2651" w:hanging="180"/>
      </w:pPr>
    </w:lvl>
    <w:lvl w:ilvl="3" w:tplc="0405000F">
      <w:start w:val="1"/>
      <w:numFmt w:val="decimal"/>
      <w:lvlText w:val="%4."/>
      <w:lvlJc w:val="left"/>
      <w:pPr>
        <w:tabs>
          <w:tab w:val="num" w:pos="3371"/>
        </w:tabs>
        <w:ind w:left="3371" w:hanging="360"/>
      </w:pPr>
    </w:lvl>
    <w:lvl w:ilvl="4" w:tplc="04050019">
      <w:start w:val="1"/>
      <w:numFmt w:val="lowerLetter"/>
      <w:lvlText w:val="%5."/>
      <w:lvlJc w:val="left"/>
      <w:pPr>
        <w:tabs>
          <w:tab w:val="num" w:pos="4091"/>
        </w:tabs>
        <w:ind w:left="4091" w:hanging="360"/>
      </w:pPr>
    </w:lvl>
    <w:lvl w:ilvl="5" w:tplc="0405001B">
      <w:start w:val="1"/>
      <w:numFmt w:val="lowerRoman"/>
      <w:lvlText w:val="%6."/>
      <w:lvlJc w:val="right"/>
      <w:pPr>
        <w:tabs>
          <w:tab w:val="num" w:pos="4811"/>
        </w:tabs>
        <w:ind w:left="4811" w:hanging="180"/>
      </w:pPr>
    </w:lvl>
    <w:lvl w:ilvl="6" w:tplc="0405000F">
      <w:start w:val="1"/>
      <w:numFmt w:val="decimal"/>
      <w:lvlText w:val="%7."/>
      <w:lvlJc w:val="left"/>
      <w:pPr>
        <w:tabs>
          <w:tab w:val="num" w:pos="5531"/>
        </w:tabs>
        <w:ind w:left="5531" w:hanging="360"/>
      </w:pPr>
    </w:lvl>
    <w:lvl w:ilvl="7" w:tplc="04050019">
      <w:start w:val="1"/>
      <w:numFmt w:val="lowerLetter"/>
      <w:lvlText w:val="%8."/>
      <w:lvlJc w:val="left"/>
      <w:pPr>
        <w:tabs>
          <w:tab w:val="num" w:pos="6251"/>
        </w:tabs>
        <w:ind w:left="6251" w:hanging="360"/>
      </w:pPr>
    </w:lvl>
    <w:lvl w:ilvl="8" w:tplc="0405001B">
      <w:start w:val="1"/>
      <w:numFmt w:val="lowerRoman"/>
      <w:lvlText w:val="%9."/>
      <w:lvlJc w:val="right"/>
      <w:pPr>
        <w:tabs>
          <w:tab w:val="num" w:pos="6971"/>
        </w:tabs>
        <w:ind w:left="6971" w:hanging="180"/>
      </w:pPr>
    </w:lvl>
  </w:abstractNum>
  <w:abstractNum w:abstractNumId="8">
    <w:nsid w:val="73294208"/>
    <w:multiLevelType w:val="multilevel"/>
    <w:tmpl w:val="0405000F"/>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7CA76EEE"/>
    <w:multiLevelType w:val="multilevel"/>
    <w:tmpl w:val="7E446AC2"/>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
  </w:num>
  <w:num w:numId="2">
    <w:abstractNumId w:val="3"/>
  </w:num>
  <w:num w:numId="3">
    <w:abstractNumId w:val="1"/>
  </w:num>
  <w:num w:numId="4">
    <w:abstractNumId w:val="0"/>
  </w:num>
  <w:num w:numId="5">
    <w:abstractNumId w:val="2"/>
  </w:num>
  <w:num w:numId="6">
    <w:abstractNumId w:val="3"/>
  </w:num>
  <w:num w:numId="7">
    <w:abstractNumId w:val="5"/>
  </w:num>
  <w:num w:numId="8">
    <w:abstractNumId w:val="9"/>
  </w:num>
  <w:num w:numId="9">
    <w:abstractNumId w:val="6"/>
  </w:num>
  <w:num w:numId="10">
    <w:abstractNumId w:val="4"/>
  </w:num>
  <w:num w:numId="11">
    <w:abstractNumId w:val="8"/>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revisionView w:markup="0"/>
  <w:trackRevisions/>
  <w:doNotTrackMoves/>
  <w:doNotTrackFormatting/>
  <w:defaultTabStop w:val="567"/>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009B"/>
    <w:rsid w:val="001351F6"/>
    <w:rsid w:val="00142756"/>
    <w:rsid w:val="001B009B"/>
    <w:rsid w:val="001C4268"/>
    <w:rsid w:val="002110AA"/>
    <w:rsid w:val="00364C9A"/>
    <w:rsid w:val="00385866"/>
    <w:rsid w:val="003D6B86"/>
    <w:rsid w:val="0041753D"/>
    <w:rsid w:val="004E1E41"/>
    <w:rsid w:val="00601231"/>
    <w:rsid w:val="006831DF"/>
    <w:rsid w:val="0069516C"/>
    <w:rsid w:val="006B106A"/>
    <w:rsid w:val="006D7515"/>
    <w:rsid w:val="00755750"/>
    <w:rsid w:val="00781584"/>
    <w:rsid w:val="00795C1C"/>
    <w:rsid w:val="008D68BB"/>
    <w:rsid w:val="00905EDC"/>
    <w:rsid w:val="009B0265"/>
    <w:rsid w:val="009C6ADF"/>
    <w:rsid w:val="00A76AE2"/>
    <w:rsid w:val="00AD2934"/>
    <w:rsid w:val="00B4360D"/>
    <w:rsid w:val="00B825CF"/>
    <w:rsid w:val="00BE4E33"/>
    <w:rsid w:val="00C23CB9"/>
    <w:rsid w:val="00C26D80"/>
    <w:rsid w:val="00D05D51"/>
    <w:rsid w:val="00E4396B"/>
    <w:rsid w:val="00E62BE8"/>
    <w:rsid w:val="00F05FED"/>
    <w:rsid w:val="00FA0D2B"/>
    <w:rsid w:val="00FC033E"/>
    <w:rsid w:val="00FD131E"/>
    <w:rsid w:val="00FF4D33"/>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overflowPunct w:val="0"/>
      <w:autoSpaceDE w:val="0"/>
      <w:autoSpaceDN w:val="0"/>
      <w:adjustRightInd w:val="0"/>
      <w:jc w:val="both"/>
      <w:textAlignment w:val="baseline"/>
    </w:pPr>
    <w:rPr>
      <w:sz w:val="24"/>
      <w:szCs w:val="24"/>
    </w:rPr>
  </w:style>
  <w:style w:type="paragraph" w:styleId="Nadpis1">
    <w:name w:val="heading 1"/>
    <w:basedOn w:val="Normln"/>
    <w:next w:val="Normln"/>
    <w:link w:val="Nadpis1Char"/>
    <w:autoRedefine/>
    <w:uiPriority w:val="9"/>
    <w:qFormat/>
    <w:pPr>
      <w:ind w:left="113"/>
      <w:outlineLvl w:val="0"/>
    </w:pPr>
    <w:rPr>
      <w:rFonts w:ascii="Cambria" w:hAnsi="Cambria"/>
      <w:b/>
      <w:bCs/>
      <w:kern w:val="32"/>
      <w:sz w:val="32"/>
      <w:szCs w:val="32"/>
      <w:lang/>
    </w:rPr>
  </w:style>
  <w:style w:type="paragraph" w:styleId="Nadpis2">
    <w:name w:val="heading 2"/>
    <w:basedOn w:val="Normln"/>
    <w:next w:val="Normln"/>
    <w:link w:val="Nadpis2Char"/>
    <w:autoRedefine/>
    <w:uiPriority w:val="99"/>
    <w:qFormat/>
    <w:rsid w:val="00D05D51"/>
    <w:pPr>
      <w:keepNext/>
      <w:spacing w:before="240" w:after="60"/>
      <w:outlineLvl w:val="1"/>
    </w:pPr>
    <w:rPr>
      <w:rFonts w:ascii="Arial" w:hAnsi="Arial"/>
      <w:b/>
      <w:bCs/>
      <w:lang/>
    </w:rPr>
  </w:style>
  <w:style w:type="paragraph" w:styleId="Nadpis3">
    <w:name w:val="heading 3"/>
    <w:basedOn w:val="Normln"/>
    <w:next w:val="Normln"/>
    <w:link w:val="Nadpis3Char"/>
    <w:autoRedefine/>
    <w:uiPriority w:val="9"/>
    <w:qFormat/>
    <w:pPr>
      <w:keepNext/>
      <w:spacing w:before="240" w:after="60"/>
      <w:outlineLvl w:val="2"/>
    </w:pPr>
    <w:rPr>
      <w:rFonts w:ascii="Cambria" w:hAnsi="Cambria"/>
      <w:b/>
      <w:bCs/>
      <w:sz w:val="26"/>
      <w:szCs w:val="26"/>
      <w:lang/>
    </w:rPr>
  </w:style>
  <w:style w:type="paragraph" w:styleId="Nadpis4">
    <w:name w:val="heading 4"/>
    <w:basedOn w:val="Normln"/>
    <w:next w:val="Normln"/>
    <w:link w:val="Nadpis4Char"/>
    <w:uiPriority w:val="9"/>
    <w:qFormat/>
    <w:pPr>
      <w:keepNext/>
      <w:spacing w:before="240" w:after="60"/>
      <w:outlineLvl w:val="3"/>
    </w:pPr>
    <w:rPr>
      <w:rFonts w:ascii="Calibri" w:hAnsi="Calibri"/>
      <w:b/>
      <w:bCs/>
      <w:sz w:val="28"/>
      <w:szCs w:val="28"/>
      <w:lang/>
    </w:rPr>
  </w:style>
  <w:style w:type="paragraph" w:styleId="Nadpis5">
    <w:name w:val="heading 5"/>
    <w:basedOn w:val="Normln"/>
    <w:next w:val="Normln"/>
    <w:link w:val="Nadpis5Char"/>
    <w:uiPriority w:val="9"/>
    <w:qFormat/>
    <w:pPr>
      <w:keepNext/>
      <w:ind w:firstLine="708"/>
      <w:outlineLvl w:val="4"/>
    </w:pPr>
    <w:rPr>
      <w:rFonts w:ascii="Calibri" w:hAnsi="Calibri"/>
      <w:b/>
      <w:bCs/>
      <w:i/>
      <w:iCs/>
      <w:sz w:val="26"/>
      <w:szCs w:val="26"/>
      <w:lang/>
    </w:rPr>
  </w:style>
  <w:style w:type="paragraph" w:styleId="Nadpis6">
    <w:name w:val="heading 6"/>
    <w:basedOn w:val="Normln"/>
    <w:next w:val="Normln"/>
    <w:link w:val="Nadpis6Char"/>
    <w:uiPriority w:val="9"/>
    <w:qFormat/>
    <w:pPr>
      <w:keepNext/>
      <w:overflowPunct/>
      <w:autoSpaceDE/>
      <w:autoSpaceDN/>
      <w:adjustRightInd/>
      <w:spacing w:before="40" w:after="40"/>
      <w:jc w:val="center"/>
      <w:textAlignment w:val="auto"/>
      <w:outlineLvl w:val="5"/>
    </w:pPr>
    <w:rPr>
      <w:rFonts w:ascii="Calibri" w:hAnsi="Calibri"/>
      <w:b/>
      <w:bCs/>
      <w:sz w:val="20"/>
      <w:szCs w:val="20"/>
      <w:lang/>
    </w:rPr>
  </w:style>
  <w:style w:type="paragraph" w:styleId="Nadpis7">
    <w:name w:val="heading 7"/>
    <w:basedOn w:val="Normln"/>
    <w:next w:val="Normln"/>
    <w:link w:val="Nadpis7Char"/>
    <w:uiPriority w:val="9"/>
    <w:qFormat/>
    <w:pPr>
      <w:keepNext/>
      <w:outlineLvl w:val="6"/>
    </w:pPr>
    <w:rPr>
      <w:rFonts w:ascii="Calibri" w:hAnsi="Calibri"/>
      <w:lang/>
    </w:rPr>
  </w:style>
  <w:style w:type="character" w:default="1" w:styleId="Standardnpsmoodstavce">
    <w:name w:val="Default Paragraph Font"/>
    <w:uiPriority w:val="99"/>
    <w:semiHidden/>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Pr>
      <w:rFonts w:ascii="Cambria" w:eastAsia="Times New Roman" w:hAnsi="Cambria" w:cs="Times New Roman"/>
      <w:b/>
      <w:bCs/>
      <w:kern w:val="32"/>
      <w:sz w:val="32"/>
      <w:szCs w:val="32"/>
    </w:rPr>
  </w:style>
  <w:style w:type="character" w:customStyle="1" w:styleId="Nadpis2Char">
    <w:name w:val="Nadpis 2 Char"/>
    <w:link w:val="Nadpis2"/>
    <w:uiPriority w:val="99"/>
    <w:rsid w:val="00D05D51"/>
    <w:rPr>
      <w:rFonts w:ascii="Arial" w:hAnsi="Arial"/>
      <w:b/>
      <w:bCs/>
      <w:sz w:val="24"/>
      <w:szCs w:val="24"/>
    </w:rPr>
  </w:style>
  <w:style w:type="character" w:customStyle="1" w:styleId="Nadpis3Char">
    <w:name w:val="Nadpis 3 Char"/>
    <w:link w:val="Nadpis3"/>
    <w:uiPriority w:val="9"/>
    <w:semiHidden/>
    <w:rPr>
      <w:rFonts w:ascii="Cambria" w:eastAsia="Times New Roman" w:hAnsi="Cambria" w:cs="Times New Roman"/>
      <w:b/>
      <w:bCs/>
      <w:sz w:val="26"/>
      <w:szCs w:val="26"/>
    </w:rPr>
  </w:style>
  <w:style w:type="character" w:customStyle="1" w:styleId="Nadpis4Char">
    <w:name w:val="Nadpis 4 Char"/>
    <w:link w:val="Nadpis4"/>
    <w:uiPriority w:val="9"/>
    <w:semiHidden/>
    <w:rPr>
      <w:rFonts w:ascii="Calibri" w:eastAsia="Times New Roman" w:hAnsi="Calibri" w:cs="Times New Roman"/>
      <w:b/>
      <w:bCs/>
      <w:sz w:val="28"/>
      <w:szCs w:val="28"/>
    </w:rPr>
  </w:style>
  <w:style w:type="character" w:customStyle="1" w:styleId="Nadpis5Char">
    <w:name w:val="Nadpis 5 Char"/>
    <w:link w:val="Nadpis5"/>
    <w:uiPriority w:val="9"/>
    <w:semiHidden/>
    <w:rPr>
      <w:rFonts w:ascii="Calibri" w:eastAsia="Times New Roman" w:hAnsi="Calibri" w:cs="Times New Roman"/>
      <w:b/>
      <w:bCs/>
      <w:i/>
      <w:iCs/>
      <w:sz w:val="26"/>
      <w:szCs w:val="26"/>
    </w:rPr>
  </w:style>
  <w:style w:type="character" w:customStyle="1" w:styleId="Nadpis6Char">
    <w:name w:val="Nadpis 6 Char"/>
    <w:link w:val="Nadpis6"/>
    <w:uiPriority w:val="9"/>
    <w:semiHidden/>
    <w:rPr>
      <w:rFonts w:ascii="Calibri" w:eastAsia="Times New Roman" w:hAnsi="Calibri" w:cs="Times New Roman"/>
      <w:b/>
      <w:bCs/>
    </w:rPr>
  </w:style>
  <w:style w:type="character" w:customStyle="1" w:styleId="Nadpis7Char">
    <w:name w:val="Nadpis 7 Char"/>
    <w:link w:val="Nadpis7"/>
    <w:uiPriority w:val="9"/>
    <w:semiHidden/>
    <w:rPr>
      <w:rFonts w:ascii="Calibri" w:eastAsia="Times New Roman" w:hAnsi="Calibri" w:cs="Times New Roman"/>
      <w:sz w:val="24"/>
      <w:szCs w:val="24"/>
    </w:rPr>
  </w:style>
  <w:style w:type="paragraph" w:styleId="Zhlav">
    <w:name w:val="header"/>
    <w:basedOn w:val="Normln"/>
    <w:link w:val="ZhlavChar"/>
    <w:uiPriority w:val="99"/>
    <w:pPr>
      <w:tabs>
        <w:tab w:val="center" w:pos="4536"/>
        <w:tab w:val="right" w:pos="9072"/>
      </w:tabs>
    </w:pPr>
    <w:rPr>
      <w:lang/>
    </w:rPr>
  </w:style>
  <w:style w:type="character" w:customStyle="1" w:styleId="ZhlavChar">
    <w:name w:val="Záhlaví Char"/>
    <w:link w:val="Zhlav"/>
    <w:uiPriority w:val="99"/>
    <w:semiHidden/>
    <w:rPr>
      <w:sz w:val="24"/>
      <w:szCs w:val="24"/>
    </w:rPr>
  </w:style>
  <w:style w:type="paragraph" w:styleId="Zpat">
    <w:name w:val="footer"/>
    <w:basedOn w:val="Normln"/>
    <w:link w:val="ZpatChar"/>
    <w:uiPriority w:val="99"/>
    <w:pPr>
      <w:tabs>
        <w:tab w:val="center" w:pos="4536"/>
        <w:tab w:val="right" w:pos="9072"/>
      </w:tabs>
    </w:pPr>
    <w:rPr>
      <w:lang/>
    </w:rPr>
  </w:style>
  <w:style w:type="character" w:customStyle="1" w:styleId="ZpatChar">
    <w:name w:val="Zápatí Char"/>
    <w:link w:val="Zpat"/>
    <w:uiPriority w:val="99"/>
    <w:semiHidden/>
    <w:rPr>
      <w:sz w:val="24"/>
      <w:szCs w:val="24"/>
    </w:rPr>
  </w:style>
  <w:style w:type="character" w:styleId="slostrnky">
    <w:name w:val="page number"/>
    <w:basedOn w:val="Standardnpsmoodstavce"/>
    <w:uiPriority w:val="99"/>
  </w:style>
  <w:style w:type="paragraph" w:customStyle="1" w:styleId="KODYOBC">
    <w:name w:val="KODY_OBCÍ"/>
    <w:basedOn w:val="Normln"/>
    <w:autoRedefine/>
    <w:uiPriority w:val="99"/>
    <w:pPr>
      <w:keepNext/>
    </w:pPr>
    <w:rPr>
      <w:rFonts w:ascii="Arial" w:hAnsi="Arial" w:cs="Arial"/>
      <w:sz w:val="20"/>
      <w:szCs w:val="20"/>
    </w:rPr>
  </w:style>
  <w:style w:type="paragraph" w:styleId="Obsah1">
    <w:name w:val="toc 1"/>
    <w:basedOn w:val="Zkladntext"/>
    <w:next w:val="Normln"/>
    <w:autoRedefine/>
    <w:uiPriority w:val="99"/>
    <w:semiHidden/>
    <w:pPr>
      <w:tabs>
        <w:tab w:val="right" w:leader="dot" w:pos="9345"/>
      </w:tabs>
    </w:pPr>
    <w:rPr>
      <w:sz w:val="20"/>
      <w:szCs w:val="20"/>
    </w:rPr>
  </w:style>
  <w:style w:type="paragraph" w:styleId="Zkladntext">
    <w:name w:val="Body Text"/>
    <w:basedOn w:val="Normln"/>
    <w:link w:val="ZkladntextChar"/>
    <w:uiPriority w:val="99"/>
    <w:pPr>
      <w:spacing w:after="120"/>
    </w:pPr>
    <w:rPr>
      <w:lang/>
    </w:rPr>
  </w:style>
  <w:style w:type="character" w:customStyle="1" w:styleId="ZkladntextChar">
    <w:name w:val="Základní text Char"/>
    <w:link w:val="Zkladntext"/>
    <w:uiPriority w:val="99"/>
    <w:semiHidden/>
    <w:rPr>
      <w:sz w:val="24"/>
      <w:szCs w:val="24"/>
    </w:rPr>
  </w:style>
  <w:style w:type="character" w:styleId="Hypertextovodkaz">
    <w:name w:val="Hyperlink"/>
    <w:uiPriority w:val="99"/>
    <w:rPr>
      <w:color w:val="0000FF"/>
      <w:u w:val="single"/>
    </w:rPr>
  </w:style>
  <w:style w:type="paragraph" w:styleId="Rozvrendokumentu">
    <w:name w:val="Document Map"/>
    <w:basedOn w:val="Normln"/>
    <w:link w:val="RozvrendokumentuChar"/>
    <w:uiPriority w:val="99"/>
    <w:semiHidden/>
    <w:pPr>
      <w:shd w:val="clear" w:color="auto" w:fill="000080"/>
    </w:pPr>
    <w:rPr>
      <w:rFonts w:ascii="Tahoma" w:hAnsi="Tahoma"/>
      <w:sz w:val="16"/>
      <w:szCs w:val="16"/>
      <w:lang/>
    </w:rPr>
  </w:style>
  <w:style w:type="character" w:customStyle="1" w:styleId="RozvrendokumentuChar">
    <w:name w:val="Rozvržení dokumentu Char"/>
    <w:link w:val="Rozvrendokumentu"/>
    <w:uiPriority w:val="99"/>
    <w:semiHidden/>
    <w:rPr>
      <w:rFonts w:ascii="Tahoma" w:hAnsi="Tahoma" w:cs="Tahoma"/>
      <w:sz w:val="16"/>
      <w:szCs w:val="16"/>
    </w:rPr>
  </w:style>
  <w:style w:type="paragraph" w:styleId="Titulek">
    <w:name w:val="caption"/>
    <w:basedOn w:val="Normln"/>
    <w:next w:val="Normln"/>
    <w:uiPriority w:val="99"/>
    <w:qFormat/>
    <w:pPr>
      <w:spacing w:before="120" w:after="120"/>
    </w:pPr>
    <w:rPr>
      <w:b/>
      <w:bCs/>
      <w:sz w:val="20"/>
      <w:szCs w:val="20"/>
    </w:rPr>
  </w:style>
  <w:style w:type="paragraph" w:styleId="slovanseznam">
    <w:name w:val="List Number"/>
    <w:basedOn w:val="Normln"/>
    <w:uiPriority w:val="99"/>
    <w:pPr>
      <w:numPr>
        <w:numId w:val="1"/>
      </w:numPr>
      <w:ind w:left="0" w:firstLine="0"/>
    </w:pPr>
  </w:style>
  <w:style w:type="paragraph" w:customStyle="1" w:styleId="podklady">
    <w:name w:val="podklady"/>
    <w:basedOn w:val="Normln"/>
    <w:autoRedefine/>
    <w:uiPriority w:val="99"/>
    <w:pPr>
      <w:numPr>
        <w:numId w:val="2"/>
      </w:numPr>
      <w:tabs>
        <w:tab w:val="clear" w:pos="360"/>
      </w:tabs>
      <w:ind w:left="0" w:firstLine="0"/>
    </w:pPr>
  </w:style>
  <w:style w:type="character" w:customStyle="1" w:styleId="podkladyChar">
    <w:name w:val="podklady Char"/>
    <w:uiPriority w:val="99"/>
    <w:rPr>
      <w:sz w:val="24"/>
      <w:szCs w:val="24"/>
      <w:lang w:val="cs-CZ" w:eastAsia="cs-CZ"/>
    </w:rPr>
  </w:style>
  <w:style w:type="paragraph" w:customStyle="1" w:styleId="TABULKA">
    <w:name w:val="TABULKA"/>
    <w:basedOn w:val="Normln"/>
    <w:uiPriority w:val="99"/>
    <w:rPr>
      <w:rFonts w:ascii="Arial" w:hAnsi="Arial" w:cs="Arial"/>
      <w:sz w:val="20"/>
      <w:szCs w:val="20"/>
    </w:rPr>
  </w:style>
  <w:style w:type="paragraph" w:customStyle="1" w:styleId="NZVYKODYOBC">
    <w:name w:val="NÁZVY_KODY_OBCÍ"/>
    <w:basedOn w:val="KODYOBC"/>
    <w:autoRedefine/>
    <w:uiPriority w:val="99"/>
    <w:pPr>
      <w:pageBreakBefore/>
      <w:jc w:val="center"/>
    </w:pPr>
  </w:style>
  <w:style w:type="character" w:styleId="slodku">
    <w:name w:val="line number"/>
    <w:basedOn w:val="Standardnpsmoodstavce"/>
    <w:uiPriority w:val="99"/>
  </w:style>
  <w:style w:type="paragraph" w:styleId="Obsah2">
    <w:name w:val="toc 2"/>
    <w:basedOn w:val="Normln"/>
    <w:next w:val="Normln"/>
    <w:autoRedefine/>
    <w:uiPriority w:val="99"/>
    <w:semiHidden/>
    <w:pPr>
      <w:ind w:left="240"/>
      <w:jc w:val="left"/>
    </w:pPr>
  </w:style>
  <w:style w:type="paragraph" w:styleId="Obsah3">
    <w:name w:val="toc 3"/>
    <w:basedOn w:val="Normln"/>
    <w:next w:val="Normln"/>
    <w:autoRedefine/>
    <w:uiPriority w:val="99"/>
    <w:semiHidden/>
    <w:pPr>
      <w:ind w:left="480"/>
      <w:jc w:val="left"/>
    </w:pPr>
  </w:style>
  <w:style w:type="paragraph" w:styleId="Obsah4">
    <w:name w:val="toc 4"/>
    <w:basedOn w:val="Normln"/>
    <w:next w:val="Normln"/>
    <w:autoRedefine/>
    <w:uiPriority w:val="99"/>
    <w:semiHidden/>
    <w:pPr>
      <w:ind w:left="720"/>
      <w:jc w:val="left"/>
    </w:pPr>
  </w:style>
  <w:style w:type="paragraph" w:styleId="Obsah5">
    <w:name w:val="toc 5"/>
    <w:basedOn w:val="Normln"/>
    <w:next w:val="Normln"/>
    <w:autoRedefine/>
    <w:uiPriority w:val="99"/>
    <w:semiHidden/>
    <w:pPr>
      <w:ind w:left="960"/>
      <w:jc w:val="left"/>
    </w:pPr>
  </w:style>
  <w:style w:type="paragraph" w:styleId="Obsah6">
    <w:name w:val="toc 6"/>
    <w:basedOn w:val="Normln"/>
    <w:next w:val="Normln"/>
    <w:autoRedefine/>
    <w:uiPriority w:val="99"/>
    <w:semiHidden/>
    <w:pPr>
      <w:ind w:left="1200"/>
      <w:jc w:val="left"/>
    </w:pPr>
  </w:style>
  <w:style w:type="paragraph" w:styleId="Obsah7">
    <w:name w:val="toc 7"/>
    <w:basedOn w:val="Normln"/>
    <w:next w:val="Normln"/>
    <w:autoRedefine/>
    <w:uiPriority w:val="99"/>
    <w:semiHidden/>
    <w:pPr>
      <w:ind w:left="1440"/>
      <w:jc w:val="left"/>
    </w:pPr>
  </w:style>
  <w:style w:type="paragraph" w:styleId="Obsah8">
    <w:name w:val="toc 8"/>
    <w:basedOn w:val="Normln"/>
    <w:next w:val="Normln"/>
    <w:autoRedefine/>
    <w:uiPriority w:val="99"/>
    <w:semiHidden/>
    <w:pPr>
      <w:ind w:left="1680"/>
      <w:jc w:val="left"/>
    </w:pPr>
  </w:style>
  <w:style w:type="paragraph" w:styleId="Obsah9">
    <w:name w:val="toc 9"/>
    <w:basedOn w:val="Normln"/>
    <w:next w:val="Normln"/>
    <w:autoRedefine/>
    <w:uiPriority w:val="99"/>
    <w:semiHidden/>
    <w:pPr>
      <w:ind w:left="1920"/>
      <w:jc w:val="left"/>
    </w:pPr>
  </w:style>
  <w:style w:type="character" w:customStyle="1" w:styleId="normalnizelena">
    <w:name w:val="normalni+zelena"/>
    <w:uiPriority w:val="99"/>
    <w:rPr>
      <w:color w:val="auto"/>
    </w:rPr>
  </w:style>
  <w:style w:type="character" w:customStyle="1" w:styleId="normlnpodtren">
    <w:name w:val="normální+podtržení"/>
    <w:uiPriority w:val="99"/>
    <w:rPr>
      <w:u w:val="single"/>
    </w:rPr>
  </w:style>
  <w:style w:type="paragraph" w:customStyle="1" w:styleId="odrky">
    <w:name w:val="odrážky"/>
    <w:uiPriority w:val="99"/>
    <w:pPr>
      <w:numPr>
        <w:numId w:val="3"/>
      </w:numPr>
      <w:tabs>
        <w:tab w:val="clear" w:pos="643"/>
        <w:tab w:val="num" w:pos="284"/>
      </w:tabs>
      <w:ind w:left="284" w:hanging="284"/>
    </w:pPr>
    <w:rPr>
      <w:sz w:val="24"/>
      <w:szCs w:val="24"/>
    </w:rPr>
  </w:style>
  <w:style w:type="paragraph" w:customStyle="1" w:styleId="Bntext">
    <w:name w:val="Běžný text"/>
    <w:basedOn w:val="Normln"/>
    <w:uiPriority w:val="99"/>
    <w:pPr>
      <w:overflowPunct/>
      <w:autoSpaceDE/>
      <w:autoSpaceDN/>
      <w:adjustRightInd/>
      <w:spacing w:before="60" w:line="360" w:lineRule="auto"/>
      <w:ind w:firstLine="709"/>
      <w:textAlignment w:val="auto"/>
    </w:pPr>
    <w:rPr>
      <w:rFonts w:ascii="Arial" w:hAnsi="Arial" w:cs="Arial"/>
      <w:sz w:val="22"/>
      <w:szCs w:val="22"/>
    </w:rPr>
  </w:style>
  <w:style w:type="paragraph" w:styleId="Zkladntext2">
    <w:name w:val="Body Text 2"/>
    <w:basedOn w:val="Normln"/>
    <w:link w:val="Zkladntext2Char"/>
    <w:uiPriority w:val="99"/>
    <w:pPr>
      <w:jc w:val="left"/>
    </w:pPr>
    <w:rPr>
      <w:lang/>
    </w:rPr>
  </w:style>
  <w:style w:type="character" w:customStyle="1" w:styleId="Zkladntext2Char">
    <w:name w:val="Základní text 2 Char"/>
    <w:link w:val="Zkladntext2"/>
    <w:uiPriority w:val="99"/>
    <w:semiHidden/>
    <w:rPr>
      <w:sz w:val="24"/>
      <w:szCs w:val="24"/>
    </w:rPr>
  </w:style>
  <w:style w:type="paragraph" w:styleId="Zkladntext3">
    <w:name w:val="Body Text 3"/>
    <w:basedOn w:val="Normln"/>
    <w:link w:val="Zkladntext3Char"/>
    <w:uiPriority w:val="99"/>
    <w:rPr>
      <w:sz w:val="16"/>
      <w:szCs w:val="16"/>
      <w:lang/>
    </w:rPr>
  </w:style>
  <w:style w:type="character" w:customStyle="1" w:styleId="Zkladntext3Char">
    <w:name w:val="Základní text 3 Char"/>
    <w:link w:val="Zkladntext3"/>
    <w:uiPriority w:val="99"/>
    <w:semiHidden/>
    <w:rPr>
      <w:sz w:val="16"/>
      <w:szCs w:val="16"/>
    </w:rPr>
  </w:style>
  <w:style w:type="paragraph" w:styleId="Zkladntextodsazen2">
    <w:name w:val="Body Text Indent 2"/>
    <w:basedOn w:val="Normln"/>
    <w:link w:val="Zkladntextodsazen2Char"/>
    <w:uiPriority w:val="99"/>
    <w:pPr>
      <w:ind w:firstLine="708"/>
    </w:pPr>
    <w:rPr>
      <w:lang/>
    </w:rPr>
  </w:style>
  <w:style w:type="character" w:customStyle="1" w:styleId="Zkladntextodsazen2Char">
    <w:name w:val="Základní text odsazený 2 Char"/>
    <w:link w:val="Zkladntextodsazen2"/>
    <w:uiPriority w:val="99"/>
    <w:semiHidden/>
    <w:rPr>
      <w:sz w:val="24"/>
      <w:szCs w:val="24"/>
    </w:rPr>
  </w:style>
  <w:style w:type="paragraph" w:styleId="Zkladntextodsazen3">
    <w:name w:val="Body Text Indent 3"/>
    <w:basedOn w:val="Normln"/>
    <w:link w:val="Zkladntextodsazen3Char"/>
    <w:uiPriority w:val="99"/>
    <w:pPr>
      <w:overflowPunct/>
      <w:autoSpaceDE/>
      <w:autoSpaceDN/>
      <w:adjustRightInd/>
      <w:ind w:left="-142" w:firstLine="850"/>
      <w:textAlignment w:val="auto"/>
    </w:pPr>
    <w:rPr>
      <w:sz w:val="16"/>
      <w:szCs w:val="16"/>
      <w:lang/>
    </w:rPr>
  </w:style>
  <w:style w:type="character" w:customStyle="1" w:styleId="Zkladntextodsazen3Char">
    <w:name w:val="Základní text odsazený 3 Char"/>
    <w:link w:val="Zkladntextodsazen3"/>
    <w:uiPriority w:val="99"/>
    <w:semiHidden/>
    <w:rPr>
      <w:sz w:val="16"/>
      <w:szCs w:val="16"/>
    </w:rPr>
  </w:style>
  <w:style w:type="character" w:styleId="Sledovanodkaz">
    <w:name w:val="FollowedHyperlink"/>
    <w:uiPriority w:val="99"/>
    <w:rPr>
      <w:color w:val="800080"/>
      <w:u w:val="single"/>
    </w:rPr>
  </w:style>
  <w:style w:type="paragraph" w:styleId="Seznam">
    <w:name w:val="List"/>
    <w:basedOn w:val="Normln"/>
    <w:uiPriority w:val="99"/>
    <w:pPr>
      <w:ind w:left="283" w:hanging="283"/>
    </w:pPr>
  </w:style>
  <w:style w:type="paragraph" w:styleId="Seznam2">
    <w:name w:val="List 2"/>
    <w:basedOn w:val="Normln"/>
    <w:uiPriority w:val="99"/>
    <w:pPr>
      <w:ind w:left="566" w:hanging="283"/>
    </w:pPr>
  </w:style>
  <w:style w:type="paragraph" w:styleId="Seznam3">
    <w:name w:val="List 3"/>
    <w:basedOn w:val="Normln"/>
    <w:uiPriority w:val="99"/>
    <w:pPr>
      <w:ind w:left="849" w:hanging="283"/>
    </w:pPr>
  </w:style>
  <w:style w:type="paragraph" w:styleId="Seznamsodrkami">
    <w:name w:val="List Bullet"/>
    <w:basedOn w:val="Normln"/>
    <w:autoRedefine/>
    <w:uiPriority w:val="99"/>
    <w:pPr>
      <w:numPr>
        <w:numId w:val="5"/>
      </w:numPr>
    </w:pPr>
  </w:style>
  <w:style w:type="paragraph" w:styleId="Seznamsodrkami2">
    <w:name w:val="List Bullet 2"/>
    <w:basedOn w:val="Normln"/>
    <w:autoRedefine/>
    <w:uiPriority w:val="99"/>
    <w:pPr>
      <w:numPr>
        <w:numId w:val="6"/>
      </w:numPr>
      <w:tabs>
        <w:tab w:val="clear" w:pos="360"/>
        <w:tab w:val="num" w:pos="643"/>
      </w:tabs>
      <w:ind w:left="643"/>
    </w:pPr>
  </w:style>
  <w:style w:type="paragraph" w:styleId="Seznamsodrkami3">
    <w:name w:val="List Bullet 3"/>
    <w:basedOn w:val="Normln"/>
    <w:autoRedefine/>
    <w:uiPriority w:val="99"/>
    <w:pPr>
      <w:numPr>
        <w:numId w:val="7"/>
      </w:numPr>
      <w:tabs>
        <w:tab w:val="clear" w:pos="360"/>
        <w:tab w:val="num" w:pos="926"/>
      </w:tabs>
      <w:ind w:left="926"/>
    </w:pPr>
  </w:style>
  <w:style w:type="paragraph" w:styleId="Pokraovnseznamu">
    <w:name w:val="List Continue"/>
    <w:basedOn w:val="Normln"/>
    <w:uiPriority w:val="99"/>
    <w:pPr>
      <w:spacing w:after="120"/>
      <w:ind w:left="283"/>
    </w:pPr>
  </w:style>
  <w:style w:type="paragraph" w:styleId="Pokraovnseznamu2">
    <w:name w:val="List Continue 2"/>
    <w:basedOn w:val="Normln"/>
    <w:uiPriority w:val="99"/>
    <w:pPr>
      <w:spacing w:after="120"/>
      <w:ind w:left="566"/>
    </w:pPr>
  </w:style>
  <w:style w:type="paragraph" w:styleId="Revize">
    <w:name w:val="Revision"/>
    <w:hidden/>
    <w:uiPriority w:val="99"/>
    <w:semiHidden/>
    <w:rsid w:val="00AD2934"/>
    <w:rPr>
      <w:sz w:val="24"/>
      <w:szCs w:val="24"/>
    </w:rPr>
  </w:style>
  <w:style w:type="paragraph" w:styleId="Textbubliny">
    <w:name w:val="Balloon Text"/>
    <w:basedOn w:val="Normln"/>
    <w:link w:val="TextbublinyChar"/>
    <w:uiPriority w:val="99"/>
    <w:semiHidden/>
    <w:unhideWhenUsed/>
    <w:rsid w:val="00AD2934"/>
    <w:rPr>
      <w:rFonts w:ascii="Tahoma" w:hAnsi="Tahoma"/>
      <w:sz w:val="16"/>
      <w:szCs w:val="16"/>
      <w:lang/>
    </w:rPr>
  </w:style>
  <w:style w:type="character" w:customStyle="1" w:styleId="TextbublinyChar">
    <w:name w:val="Text bubliny Char"/>
    <w:link w:val="Textbubliny"/>
    <w:uiPriority w:val="99"/>
    <w:semiHidden/>
    <w:rsid w:val="00AD29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1073</Words>
  <Characters>6333</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PLÁN ROZVOJE VODOVODŮ A KANALIZACÍ ZLÍNSKÉHO KRAJE</vt:lpstr>
    </vt:vector>
  </TitlesOfParts>
  <Company>Centroprojekt Zlín a.s., Voding Hranice s.r.o.</Company>
  <LinksUpToDate>false</LinksUpToDate>
  <CharactersWithSpaces>7392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PLÁN ROZVOJE VODOVODŮ A KANALIZACÍ ZLÍNSKÉHO KRAJE</dc:title>
  <dc:subject/>
  <dc:creator>Tomáš Adler</dc:creator>
  <cp:keywords/>
  <dc:description/>
  <cp:lastModifiedBy>oHHo</cp:lastModifiedBy>
  <cp:revision>2</cp:revision>
  <cp:lastPrinted>2015-12-21T11:39:00Z</cp:lastPrinted>
  <dcterms:created xsi:type="dcterms:W3CDTF">2015-12-21T11:39:00Z</dcterms:created>
  <dcterms:modified xsi:type="dcterms:W3CDTF">2015-12-21T11:39:00Z</dcterms:modified>
</cp:coreProperties>
</file>